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widowControl w:val="0"/>
        <w:spacing w:after="0" w:before="80" w:lineRule="auto"/>
        <w:ind w:left="23" w:firstLine="0"/>
        <w:jc w:val="center"/>
        <w:rPr>
          <w:rFonts w:ascii="Arial" w:cs="Arial" w:eastAsia="Arial" w:hAnsi="Arial"/>
          <w:sz w:val="34"/>
          <w:szCs w:val="34"/>
        </w:rPr>
      </w:pPr>
      <w:r w:rsidDel="00000000" w:rsidR="00000000" w:rsidRPr="00000000">
        <w:rPr>
          <w:rFonts w:ascii="Arial" w:cs="Arial" w:eastAsia="Arial" w:hAnsi="Arial"/>
          <w:sz w:val="34"/>
          <w:szCs w:val="34"/>
        </w:rPr>
        <w:drawing>
          <wp:inline distB="114300" distT="114300" distL="114300" distR="114300">
            <wp:extent cx="2744625" cy="147061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744625" cy="147061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keepNext w:val="0"/>
        <w:keepLines w:val="0"/>
        <w:widowControl w:val="0"/>
        <w:spacing w:after="0" w:before="80" w:lineRule="auto"/>
        <w:ind w:left="23" w:firstLine="0"/>
        <w:jc w:val="center"/>
        <w:rPr>
          <w:rFonts w:ascii="Arial" w:cs="Arial" w:eastAsia="Arial" w:hAnsi="Arial"/>
          <w:sz w:val="24"/>
          <w:szCs w:val="24"/>
        </w:rPr>
      </w:pPr>
      <w:r w:rsidDel="00000000" w:rsidR="00000000" w:rsidRPr="00000000">
        <w:rPr>
          <w:rFonts w:ascii="Arial" w:cs="Arial" w:eastAsia="Arial" w:hAnsi="Arial"/>
          <w:sz w:val="34"/>
          <w:szCs w:val="34"/>
          <w:rtl w:val="0"/>
        </w:rPr>
        <w:t xml:space="preserve">STUDY PROTOCOL</w:t>
      </w:r>
      <w:r w:rsidDel="00000000" w:rsidR="00000000" w:rsidRPr="00000000">
        <w:rPr>
          <w:rtl w:val="0"/>
        </w:rPr>
      </w:r>
    </w:p>
    <w:p w:rsidR="00000000" w:rsidDel="00000000" w:rsidP="00000000" w:rsidRDefault="00000000" w:rsidRPr="00000000" w14:paraId="00000003">
      <w:pPr>
        <w:pStyle w:val="Heading1"/>
        <w:keepNext w:val="0"/>
        <w:keepLines w:val="0"/>
        <w:widowControl w:val="0"/>
        <w:spacing w:after="0" w:before="80" w:lineRule="auto"/>
        <w:ind w:left="23" w:firstLine="0"/>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TITLE:</w:t>
      </w:r>
    </w:p>
    <w:p w:rsidR="00000000" w:rsidDel="00000000" w:rsidP="00000000" w:rsidRDefault="00000000" w:rsidRPr="00000000" w14:paraId="00000004">
      <w:pPr>
        <w:pStyle w:val="Heading1"/>
        <w:keepNext w:val="0"/>
        <w:keepLines w:val="0"/>
        <w:widowControl w:val="0"/>
        <w:spacing w:after="0" w:before="80" w:lineRule="auto"/>
        <w:ind w:left="23" w:firstLine="0"/>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Comparative evaluation of 68Ga-FAPI-46 PET-CT, CECT and Diagnostic Laparoscopy for detection of peritoneal metastases in newly diagnosed gastric carcinoma: Impact on PCI scoring and treatment strategy</w:t>
      </w:r>
    </w:p>
    <w:p w:rsidR="00000000" w:rsidDel="00000000" w:rsidP="00000000" w:rsidRDefault="00000000" w:rsidRPr="00000000" w14:paraId="00000005">
      <w:pPr>
        <w:widowControl w:val="0"/>
        <w:spacing w:after="0" w:lin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widowControl w:val="0"/>
        <w:spacing w:after="0" w:line="240" w:lineRule="auto"/>
        <w:jc w:val="cente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DEPARTMENT OF NUCLEAR MEDICINE</w:t>
      </w:r>
    </w:p>
    <w:p w:rsidR="00000000" w:rsidDel="00000000" w:rsidP="00000000" w:rsidRDefault="00000000" w:rsidRPr="00000000" w14:paraId="00000007">
      <w:pPr>
        <w:widowControl w:val="0"/>
        <w:spacing w:after="0" w:line="240" w:lineRule="auto"/>
        <w:jc w:val="center"/>
        <w:rPr>
          <w:rFonts w:ascii="Arial" w:cs="Arial" w:eastAsia="Arial" w:hAnsi="Arial"/>
          <w:sz w:val="28"/>
          <w:szCs w:val="28"/>
        </w:rPr>
      </w:pPr>
      <w:r w:rsidDel="00000000" w:rsidR="00000000" w:rsidRPr="00000000">
        <w:rPr>
          <w:rFonts w:ascii="Arial" w:cs="Arial" w:eastAsia="Arial" w:hAnsi="Arial"/>
          <w:b w:val="1"/>
          <w:bCs w:val="1"/>
          <w:sz w:val="28"/>
          <w:szCs w:val="28"/>
          <w:rtl w:val="0"/>
        </w:rPr>
        <w:t xml:space="preserve">TATA MEDICAL CENTER. KOLKATA</w:t>
      </w:r>
      <w:r w:rsidDel="00000000" w:rsidR="00000000" w:rsidRPr="00000000">
        <w:rPr>
          <w:rtl w:val="0"/>
        </w:rPr>
      </w:r>
    </w:p>
    <w:p w:rsidR="00000000" w:rsidDel="00000000" w:rsidP="00000000" w:rsidRDefault="00000000" w:rsidRPr="00000000" w14:paraId="00000008">
      <w:pPr>
        <w:widowControl w:val="0"/>
        <w:spacing w:after="0" w:line="240" w:lineRule="auto"/>
        <w:jc w:val="left"/>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widowControl w:val="0"/>
        <w:spacing w:after="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Principal Investigator:</w:t>
      </w:r>
    </w:p>
    <w:p w:rsidR="00000000" w:rsidDel="00000000" w:rsidP="00000000" w:rsidRDefault="00000000" w:rsidRPr="00000000" w14:paraId="0000000A">
      <w:pPr>
        <w:widowControl w:val="0"/>
        <w:spacing w:after="0" w:line="240" w:lineRule="auto"/>
        <w:jc w:val="center"/>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Anirban Mukherjee</w:t>
      </w:r>
    </w:p>
    <w:p w:rsidR="00000000" w:rsidDel="00000000" w:rsidP="00000000" w:rsidRDefault="00000000" w:rsidRPr="00000000" w14:paraId="0000000B">
      <w:pPr>
        <w:widowControl w:val="0"/>
        <w:spacing w:after="0" w:line="240" w:lineRule="auto"/>
        <w:jc w:val="center"/>
        <w:rPr>
          <w:rFonts w:ascii="Arial" w:cs="Arial" w:eastAsia="Arial" w:hAnsi="Arial"/>
          <w:sz w:val="26"/>
          <w:szCs w:val="26"/>
        </w:rPr>
      </w:pPr>
      <w:r w:rsidDel="00000000" w:rsidR="00000000" w:rsidRPr="00000000">
        <w:rPr>
          <w:rFonts w:ascii="Arial" w:cs="Arial" w:eastAsia="Arial" w:hAnsi="Arial"/>
          <w:sz w:val="26"/>
          <w:szCs w:val="26"/>
          <w:highlight w:val="white"/>
          <w:rtl w:val="0"/>
        </w:rPr>
        <w:t xml:space="preserve">Associate </w:t>
      </w: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0C">
      <w:pPr>
        <w:widowControl w:val="0"/>
        <w:spacing w:after="0" w:line="240" w:lineRule="auto"/>
        <w:jc w:val="center"/>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0D">
      <w:pPr>
        <w:widowControl w:val="0"/>
        <w:spacing w:after="0" w:line="240" w:lineRule="auto"/>
        <w:jc w:val="center"/>
        <w:rPr>
          <w:rFonts w:ascii="Arial" w:cs="Arial" w:eastAsia="Arial" w:hAnsi="Arial"/>
          <w:b w:val="1"/>
          <w:bCs w:val="1"/>
          <w:sz w:val="28"/>
          <w:szCs w:val="28"/>
          <w:highlight w:val="white"/>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0E">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F">
      <w:pPr>
        <w:pStyle w:val="Heading1"/>
        <w:keepNext w:val="0"/>
        <w:keepLines w:val="0"/>
        <w:widowControl w:val="0"/>
        <w:spacing w:after="0" w:before="8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Co-investigators:</w:t>
      </w:r>
    </w:p>
    <w:p w:rsidR="00000000" w:rsidDel="00000000" w:rsidP="00000000" w:rsidRDefault="00000000" w:rsidRPr="00000000" w14:paraId="00000010">
      <w:pPr>
        <w:widowControl w:val="0"/>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widowControl w:val="0"/>
        <w:spacing w:after="0" w:line="240" w:lineRule="auto"/>
        <w:jc w:val="lef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Dr. Shrey Aryan</w:t>
      </w:r>
    </w:p>
    <w:p w:rsidR="00000000" w:rsidDel="00000000" w:rsidP="00000000" w:rsidRDefault="00000000" w:rsidRPr="00000000" w14:paraId="00000012">
      <w:pPr>
        <w:widowControl w:val="0"/>
        <w:spacing w:after="0" w:line="240"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DNB Trainee</w:t>
      </w:r>
    </w:p>
    <w:p w:rsidR="00000000" w:rsidDel="00000000" w:rsidP="00000000" w:rsidRDefault="00000000" w:rsidRPr="00000000" w14:paraId="00000013">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4">
      <w:pPr>
        <w:widowControl w:val="0"/>
        <w:spacing w:after="0" w:line="240" w:lineRule="auto"/>
        <w:rPr>
          <w:rFonts w:ascii="Arial" w:cs="Arial" w:eastAsia="Arial" w:hAnsi="Arial"/>
          <w:b w:val="1"/>
          <w:bCs w:val="1"/>
          <w:sz w:val="26"/>
          <w:szCs w:val="26"/>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15">
      <w:pPr>
        <w:widowControl w:val="0"/>
        <w:spacing w:after="0" w:line="240" w:lineRule="auto"/>
        <w:jc w:val="center"/>
        <w:rPr/>
      </w:pPr>
      <w:r w:rsidDel="00000000" w:rsidR="00000000" w:rsidRPr="00000000">
        <w:rPr>
          <w:rtl w:val="0"/>
        </w:rPr>
      </w:r>
    </w:p>
    <w:p w:rsidR="00000000" w:rsidDel="00000000" w:rsidP="00000000" w:rsidRDefault="00000000" w:rsidRPr="00000000" w14:paraId="00000016">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Soumendranath Ray</w:t>
      </w:r>
    </w:p>
    <w:p w:rsidR="00000000" w:rsidDel="00000000" w:rsidP="00000000" w:rsidRDefault="00000000" w:rsidRPr="00000000" w14:paraId="00000017">
      <w:pPr>
        <w:widowControl w:val="0"/>
        <w:spacing w:after="0" w:line="240" w:lineRule="auto"/>
        <w:rPr>
          <w:rFonts w:ascii="Arial" w:cs="Arial" w:eastAsia="Arial" w:hAnsi="Arial"/>
          <w:sz w:val="26"/>
          <w:szCs w:val="26"/>
          <w:highlight w:val="white"/>
        </w:rPr>
      </w:pPr>
      <w:r w:rsidDel="00000000" w:rsidR="00000000" w:rsidRPr="00000000">
        <w:rPr>
          <w:rFonts w:ascii="Arial" w:cs="Arial" w:eastAsia="Arial" w:hAnsi="Arial"/>
          <w:sz w:val="26"/>
          <w:szCs w:val="26"/>
          <w:highlight w:val="white"/>
          <w:rtl w:val="0"/>
        </w:rPr>
        <w:t xml:space="preserve">Head of Department</w:t>
      </w:r>
    </w:p>
    <w:p w:rsidR="00000000" w:rsidDel="00000000" w:rsidP="00000000" w:rsidRDefault="00000000" w:rsidRPr="00000000" w14:paraId="00000018">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9">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1A">
      <w:pPr>
        <w:widowControl w:val="0"/>
        <w:spacing w:after="0" w:line="240" w:lineRule="auto"/>
        <w:rPr>
          <w:rFonts w:ascii="Arial" w:cs="Arial" w:eastAsia="Arial" w:hAnsi="Arial"/>
          <w:sz w:val="26"/>
          <w:szCs w:val="26"/>
          <w:highlight w:val="white"/>
        </w:rPr>
      </w:pPr>
      <w:r w:rsidDel="00000000" w:rsidR="00000000" w:rsidRPr="00000000">
        <w:rPr>
          <w:rtl w:val="0"/>
        </w:rPr>
      </w:r>
    </w:p>
    <w:p w:rsidR="00000000" w:rsidDel="00000000" w:rsidP="00000000" w:rsidRDefault="00000000" w:rsidRPr="00000000" w14:paraId="0000001B">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Jayanta Das</w:t>
      </w:r>
      <w:r w:rsidDel="00000000" w:rsidR="00000000" w:rsidRPr="00000000">
        <w:rPr>
          <w:rtl w:val="0"/>
        </w:rPr>
      </w:r>
    </w:p>
    <w:p w:rsidR="00000000" w:rsidDel="00000000" w:rsidP="00000000" w:rsidRDefault="00000000" w:rsidRPr="00000000" w14:paraId="0000001C">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1D">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1E">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1F">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Arial" w:cs="Arial" w:eastAsia="Arial" w:hAnsi="Arial"/>
          <w:b w:val="1"/>
          <w:bCs w:val="1"/>
          <w:sz w:val="26"/>
          <w:szCs w:val="26"/>
          <w:highlight w:val="white"/>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Arial" w:cs="Arial" w:eastAsia="Arial" w:hAnsi="Arial"/>
          <w:b w:val="1"/>
          <w:bCs w:val="1"/>
          <w:sz w:val="26"/>
          <w:szCs w:val="26"/>
          <w:highlight w:val="white"/>
        </w:rPr>
      </w:pPr>
      <w:r w:rsidDel="00000000" w:rsidR="00000000" w:rsidRPr="00000000">
        <w:rPr>
          <w:rtl w:val="0"/>
        </w:rPr>
      </w:r>
    </w:p>
    <w:p w:rsidR="00000000" w:rsidDel="00000000" w:rsidP="00000000" w:rsidRDefault="00000000" w:rsidRPr="00000000" w14:paraId="00000022">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Bipradas Roy</w:t>
      </w:r>
      <w:r w:rsidDel="00000000" w:rsidR="00000000" w:rsidRPr="00000000">
        <w:rPr>
          <w:rtl w:val="0"/>
        </w:rPr>
      </w:r>
    </w:p>
    <w:p w:rsidR="00000000" w:rsidDel="00000000" w:rsidP="00000000" w:rsidRDefault="00000000" w:rsidRPr="00000000" w14:paraId="00000023">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24">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GI-HPB Surgery</w:t>
      </w:r>
    </w:p>
    <w:p w:rsidR="00000000" w:rsidDel="00000000" w:rsidP="00000000" w:rsidRDefault="00000000" w:rsidRPr="00000000" w14:paraId="00000025">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26">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7">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Priya Ghosh</w:t>
      </w:r>
      <w:r w:rsidDel="00000000" w:rsidR="00000000" w:rsidRPr="00000000">
        <w:rPr>
          <w:rtl w:val="0"/>
        </w:rPr>
      </w:r>
    </w:p>
    <w:p w:rsidR="00000000" w:rsidDel="00000000" w:rsidP="00000000" w:rsidRDefault="00000000" w:rsidRPr="00000000" w14:paraId="00000028">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Consultant </w:t>
      </w:r>
    </w:p>
    <w:p w:rsidR="00000000" w:rsidDel="00000000" w:rsidP="00000000" w:rsidRDefault="00000000" w:rsidRPr="00000000" w14:paraId="00000029">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Radiology</w:t>
      </w:r>
    </w:p>
    <w:p w:rsidR="00000000" w:rsidDel="00000000" w:rsidP="00000000" w:rsidRDefault="00000000" w:rsidRPr="00000000" w14:paraId="0000002A">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Tata Medical Center, Kolkata</w:t>
      </w:r>
    </w:p>
    <w:p w:rsidR="00000000" w:rsidDel="00000000" w:rsidP="00000000" w:rsidRDefault="00000000" w:rsidRPr="00000000" w14:paraId="0000002B">
      <w:pPr>
        <w:widowControl w:val="0"/>
        <w:spacing w:after="0" w:line="240" w:lineRule="auto"/>
        <w:rPr>
          <w:rFonts w:ascii="Arial" w:cs="Arial" w:eastAsia="Arial" w:hAnsi="Arial"/>
          <w:i w:val="1"/>
          <w:iCs w:val="1"/>
          <w:sz w:val="26"/>
          <w:szCs w:val="26"/>
          <w:highlight w:val="white"/>
        </w:rPr>
      </w:pPr>
      <w:r w:rsidDel="00000000" w:rsidR="00000000" w:rsidRPr="00000000">
        <w:rPr>
          <w:rtl w:val="0"/>
        </w:rPr>
      </w:r>
    </w:p>
    <w:p w:rsidR="00000000" w:rsidDel="00000000" w:rsidP="00000000" w:rsidRDefault="00000000" w:rsidRPr="00000000" w14:paraId="0000002C">
      <w:pPr>
        <w:widowControl w:val="0"/>
        <w:spacing w:after="0" w:line="240" w:lineRule="auto"/>
        <w:rPr>
          <w:rFonts w:ascii="Arial" w:cs="Arial" w:eastAsia="Arial" w:hAnsi="Arial"/>
          <w:b w:val="1"/>
          <w:bCs w:val="1"/>
          <w:sz w:val="26"/>
          <w:szCs w:val="26"/>
          <w:highlight w:val="white"/>
        </w:rPr>
      </w:pPr>
      <w:r w:rsidDel="00000000" w:rsidR="00000000" w:rsidRPr="00000000">
        <w:rPr>
          <w:rFonts w:ascii="Arial" w:cs="Arial" w:eastAsia="Arial" w:hAnsi="Arial"/>
          <w:b w:val="1"/>
          <w:bCs w:val="1"/>
          <w:sz w:val="26"/>
          <w:szCs w:val="26"/>
          <w:highlight w:val="white"/>
          <w:rtl w:val="0"/>
        </w:rPr>
        <w:t xml:space="preserve">Dr. </w:t>
      </w:r>
      <w:r w:rsidDel="00000000" w:rsidR="00000000" w:rsidRPr="00000000">
        <w:rPr>
          <w:rFonts w:ascii="Arial" w:cs="Arial" w:eastAsia="Arial" w:hAnsi="Arial"/>
          <w:b w:val="1"/>
          <w:bCs w:val="1"/>
          <w:sz w:val="26"/>
          <w:szCs w:val="26"/>
          <w:rtl w:val="0"/>
        </w:rPr>
        <w:t xml:space="preserve">Sayantani Sinha</w:t>
      </w:r>
      <w:r w:rsidDel="00000000" w:rsidR="00000000" w:rsidRPr="00000000">
        <w:rPr>
          <w:rtl w:val="0"/>
        </w:rPr>
      </w:r>
    </w:p>
    <w:p w:rsidR="00000000" w:rsidDel="00000000" w:rsidP="00000000" w:rsidRDefault="00000000" w:rsidRPr="00000000" w14:paraId="0000002D">
      <w:pPr>
        <w:widowControl w:val="0"/>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Junior Consultant </w:t>
      </w:r>
    </w:p>
    <w:p w:rsidR="00000000" w:rsidDel="00000000" w:rsidP="00000000" w:rsidRDefault="00000000" w:rsidRPr="00000000" w14:paraId="0000002E">
      <w:pPr>
        <w:widowControl w:val="0"/>
        <w:spacing w:after="0" w:line="240" w:lineRule="auto"/>
        <w:rPr>
          <w:rFonts w:ascii="Arial" w:cs="Arial" w:eastAsia="Arial" w:hAnsi="Arial"/>
          <w:i w:val="1"/>
          <w:iCs w:val="1"/>
          <w:sz w:val="26"/>
          <w:szCs w:val="26"/>
          <w:highlight w:val="white"/>
        </w:rPr>
      </w:pPr>
      <w:r w:rsidDel="00000000" w:rsidR="00000000" w:rsidRPr="00000000">
        <w:rPr>
          <w:rFonts w:ascii="Arial" w:cs="Arial" w:eastAsia="Arial" w:hAnsi="Arial"/>
          <w:i w:val="1"/>
          <w:iCs w:val="1"/>
          <w:sz w:val="26"/>
          <w:szCs w:val="26"/>
          <w:highlight w:val="white"/>
          <w:rtl w:val="0"/>
        </w:rPr>
        <w:t xml:space="preserve">Department of Nuclear Medicine</w:t>
      </w:r>
    </w:p>
    <w:p w:rsidR="00000000" w:rsidDel="00000000" w:rsidP="00000000" w:rsidRDefault="00000000" w:rsidRPr="00000000" w14:paraId="0000002F">
      <w:pPr>
        <w:widowControl w:val="0"/>
        <w:spacing w:after="0" w:line="240" w:lineRule="auto"/>
        <w:rPr>
          <w:rFonts w:ascii="Arial" w:cs="Arial" w:eastAsia="Arial" w:hAnsi="Arial"/>
          <w:b w:val="1"/>
          <w:bCs w:val="1"/>
          <w:sz w:val="26"/>
          <w:szCs w:val="26"/>
        </w:rPr>
      </w:pPr>
      <w:r w:rsidDel="00000000" w:rsidR="00000000" w:rsidRPr="00000000">
        <w:rPr>
          <w:rFonts w:ascii="Arial" w:cs="Arial" w:eastAsia="Arial" w:hAnsi="Arial"/>
          <w:i w:val="1"/>
          <w:iCs w:val="1"/>
          <w:sz w:val="26"/>
          <w:szCs w:val="26"/>
          <w:highlight w:val="white"/>
          <w:rtl w:val="0"/>
        </w:rPr>
        <w:t xml:space="preserve">Tata Medical Center, Kolkata</w:t>
      </w:r>
      <w:r w:rsidDel="00000000" w:rsidR="00000000" w:rsidRPr="00000000">
        <w:rPr>
          <w:rtl w:val="0"/>
        </w:rPr>
      </w:r>
    </w:p>
    <w:p w:rsidR="00000000" w:rsidDel="00000000" w:rsidP="00000000" w:rsidRDefault="00000000" w:rsidRPr="00000000" w14:paraId="00000030">
      <w:pPr>
        <w:spacing w:after="240" w:before="240" w:line="276" w:lineRule="auto"/>
        <w:rPr>
          <w:rFonts w:ascii="Arial" w:cs="Arial" w:eastAsia="Arial" w:hAnsi="Arial"/>
          <w:b w:val="1"/>
          <w:bCs w:val="1"/>
          <w:sz w:val="34"/>
          <w:szCs w:val="34"/>
        </w:rPr>
      </w:pPr>
      <w:r w:rsidDel="00000000" w:rsidR="00000000" w:rsidRPr="00000000">
        <w:rPr>
          <w:rFonts w:ascii="Arial" w:cs="Arial" w:eastAsia="Arial" w:hAnsi="Arial"/>
          <w:b w:val="1"/>
          <w:bCs w:val="1"/>
          <w:sz w:val="34"/>
          <w:szCs w:val="34"/>
          <w:rtl w:val="0"/>
        </w:rPr>
        <w:t xml:space="preserve">STUDY PROTOCOL</w:t>
      </w:r>
    </w:p>
    <w:p w:rsidR="00000000" w:rsidDel="00000000" w:rsidP="00000000" w:rsidRDefault="00000000" w:rsidRPr="00000000" w14:paraId="00000031">
      <w:pPr>
        <w:spacing w:after="240" w:before="240" w:line="276" w:lineRule="auto"/>
        <w:rPr>
          <w:rFonts w:ascii="Arial" w:cs="Arial" w:eastAsia="Arial" w:hAnsi="Arial"/>
          <w:b w:val="1"/>
          <w:bCs w:val="1"/>
          <w:sz w:val="30"/>
          <w:szCs w:val="30"/>
          <w:highlight w:val="green"/>
        </w:rPr>
      </w:pPr>
      <w:r w:rsidDel="00000000" w:rsidR="00000000" w:rsidRPr="00000000">
        <w:rPr>
          <w:rFonts w:ascii="Arial" w:cs="Arial" w:eastAsia="Arial" w:hAnsi="Arial"/>
          <w:b w:val="1"/>
          <w:bCs w:val="1"/>
          <w:sz w:val="30"/>
          <w:szCs w:val="30"/>
          <w:rtl w:val="0"/>
        </w:rPr>
        <w:t xml:space="preserve">Title:</w:t>
      </w:r>
      <w:r w:rsidDel="00000000" w:rsidR="00000000" w:rsidRPr="00000000">
        <w:rPr>
          <w:rFonts w:ascii="Arial" w:cs="Arial" w:eastAsia="Arial" w:hAnsi="Arial"/>
          <w:sz w:val="30"/>
          <w:szCs w:val="30"/>
          <w:rtl w:val="0"/>
        </w:rPr>
        <w:t xml:space="preserve"> </w:t>
      </w:r>
      <w:r w:rsidDel="00000000" w:rsidR="00000000" w:rsidRPr="00000000">
        <w:rPr>
          <w:rFonts w:ascii="Arial" w:cs="Arial" w:eastAsia="Arial" w:hAnsi="Arial"/>
          <w:sz w:val="28"/>
          <w:szCs w:val="28"/>
          <w:rtl w:val="0"/>
        </w:rPr>
        <w:t xml:space="preserve">Comparative evaluation of 68Ga-FAPI-46 PET-CT, CECT and Diagnostic Laparoscopy for detection of peritoneal metastases in newly diagnosed gastric carcinoma: Impact on PCI scoring and treatment strategy</w:t>
      </w:r>
      <w:r w:rsidDel="00000000" w:rsidR="00000000" w:rsidRPr="00000000">
        <w:rPr>
          <w:rtl w:val="0"/>
        </w:rPr>
      </w:r>
    </w:p>
    <w:p w:rsidR="00000000" w:rsidDel="00000000" w:rsidP="00000000" w:rsidRDefault="00000000" w:rsidRPr="00000000" w14:paraId="00000032">
      <w:pPr>
        <w:pStyle w:val="Heading3"/>
        <w:keepNext w:val="0"/>
        <w:keepLines w:val="0"/>
        <w:spacing w:line="276" w:lineRule="auto"/>
        <w:rPr>
          <w:rFonts w:ascii="Arial" w:cs="Arial" w:eastAsia="Arial" w:hAnsi="Arial"/>
          <w:sz w:val="26"/>
          <w:szCs w:val="26"/>
        </w:rPr>
      </w:pPr>
      <w:bookmarkStart w:colFirst="0" w:colLast="0" w:name="_vd4gezikwon6" w:id="0"/>
      <w:bookmarkEnd w:id="0"/>
      <w:r w:rsidDel="00000000" w:rsidR="00000000" w:rsidRPr="00000000">
        <w:rPr>
          <w:rFonts w:ascii="Arial" w:cs="Arial" w:eastAsia="Arial" w:hAnsi="Arial"/>
          <w:sz w:val="26"/>
          <w:szCs w:val="26"/>
          <w:rtl w:val="0"/>
        </w:rPr>
        <w:t xml:space="preserve">Introduction:</w:t>
      </w:r>
    </w:p>
    <w:p w:rsidR="00000000" w:rsidDel="00000000" w:rsidP="00000000" w:rsidRDefault="00000000" w:rsidRPr="00000000" w14:paraId="00000033">
      <w:pPr>
        <w:spacing w:after="240" w:before="240" w:line="276" w:lineRule="auto"/>
        <w:rPr>
          <w:rFonts w:ascii="Arial" w:cs="Arial" w:eastAsia="Arial" w:hAnsi="Arial"/>
        </w:rPr>
      </w:pPr>
      <w:r w:rsidDel="00000000" w:rsidR="00000000" w:rsidRPr="00000000">
        <w:rPr>
          <w:rFonts w:ascii="Arial" w:cs="Arial" w:eastAsia="Arial" w:hAnsi="Arial"/>
          <w:rtl w:val="0"/>
        </w:rPr>
        <w:t xml:space="preserve">Peritoneal carcinomatosis is a recognized pattern of spread in colorectal cancer and may be present either at initial diagnosis or develop later during the disease course. It occurs more frequently in colonic cancers than rectal cancers and is particularly associated with locally advanced T4 tumors. The risk is highest in tumors that penetrate the visceral peritoneal surface</w:t>
      </w:r>
      <w:hyperlink r:id="rId7">
        <w:r w:rsidDel="00000000" w:rsidR="00000000" w:rsidRPr="00000000">
          <w:rPr>
            <w:rFonts w:ascii="Arial" w:cs="Arial" w:eastAsia="Arial" w:hAnsi="Arial"/>
            <w:rtl w:val="0"/>
          </w:rPr>
          <w:t xml:space="preserve">(1)</w:t>
        </w:r>
      </w:hyperlink>
      <w:r w:rsidDel="00000000" w:rsidR="00000000" w:rsidRPr="00000000">
        <w:rPr>
          <w:rFonts w:ascii="Arial" w:cs="Arial" w:eastAsia="Arial" w:hAnsi="Arial"/>
          <w:rtl w:val="0"/>
        </w:rPr>
        <w:t xml:space="preserve">. Fibroblast activation protein (FAP) is a type II transmembrane glycoprotein and a member of the dipeptidyl peptidase-4 family of serine proteases. Unlike other family members, it possesses both dipeptidyl peptidase and endopeptidase activity and is involved in tissue remodeling and extracellular matrix degradation. FAP expression is minimal in normal adult tissues but is markedly increased in conditions such as wound healing, fibrosis, chronic inflammation, and within cancer-associated fibroblasts of the tumor microenvironment. Its high expression in the stroma of many epithelial malignancies and limited expression in normal tissues make it an attractive target for molecular imaging and theranostic applications</w:t>
      </w:r>
      <w:hyperlink r:id="rId8">
        <w:r w:rsidDel="00000000" w:rsidR="00000000" w:rsidRPr="00000000">
          <w:rPr>
            <w:rFonts w:ascii="Arial" w:cs="Arial" w:eastAsia="Arial" w:hAnsi="Arial"/>
            <w:rtl w:val="0"/>
          </w:rPr>
          <w:t xml:space="preserve">(2,3)</w:t>
        </w:r>
      </w:hyperlink>
      <w:r w:rsidDel="00000000" w:rsidR="00000000" w:rsidRPr="00000000">
        <w:rPr>
          <w:rFonts w:ascii="Arial" w:cs="Arial" w:eastAsia="Arial" w:hAnsi="Arial"/>
          <w:rtl w:val="0"/>
        </w:rPr>
        <w:t xml:space="preserve">. Contrast-enhanced CT (CECT) remains the primary imaging modality for the detection and staging of peritoneal carcinomatosis; however, its sensitivity is limited in patients with low-volume or occult peritoneal disease. Current consensus recommendations support the use of PET/CT and CECT in the evaluation of both newly diagnosed and metachronous colorectal cancer with suspected peritoneal metastases. Despite advances in imaging, diagnostic laparoscopy continues to be regarded as the reference standard for detecting occult peritoneal metastases and assessing peritoneal tumor burden through direct visualization and histopathological confirmation. Therefore, an accurate non-invasive imaging modality that closely correlates with laparoscopic findings could improve preoperative staging and treatment planning</w:t>
      </w:r>
      <w:hyperlink r:id="rId9">
        <w:r w:rsidDel="00000000" w:rsidR="00000000" w:rsidRPr="00000000">
          <w:rPr>
            <w:rFonts w:ascii="Arial" w:cs="Arial" w:eastAsia="Arial" w:hAnsi="Arial"/>
            <w:rtl w:val="0"/>
          </w:rPr>
          <w:t xml:space="preserve">(4–6)</w:t>
        </w:r>
      </w:hyperlink>
      <w:r w:rsidDel="00000000" w:rsidR="00000000" w:rsidRPr="00000000">
        <w:rPr>
          <w:rFonts w:ascii="Arial" w:cs="Arial" w:eastAsia="Arial" w:hAnsi="Arial"/>
          <w:rtl w:val="0"/>
        </w:rPr>
        <w:t xml:space="preserve">. Conventional imaging and even FDG PET/CT may have limited sensitivity for detecting peritoneal disease, especially in signet-ring cell and mucinous adenocarcinomas, which often demonstrate low FDG avidity. As peritoneal metastases induce stromal and fibroblastic reactions, ⁶⁸Ga-FAPI PET/CT has emerged as a promising non-invasive imaging modality targeting fibroblast activation within the tumor microenvironment. Several studies have reported higher lesion detectability and improved sensitivity of FAPI PET/CT compared with FDG PET/CT for identifying peritoneal metastases, particularly in gastric cancer. These findings suggest a potential role for FAPI PET/CT in improving the non-invasive assessment of peritoneal disease burden</w:t>
      </w:r>
      <w:hyperlink r:id="rId10">
        <w:r w:rsidDel="00000000" w:rsidR="00000000" w:rsidRPr="00000000">
          <w:rPr>
            <w:rFonts w:ascii="Arial" w:cs="Arial" w:eastAsia="Arial" w:hAnsi="Arial"/>
            <w:rtl w:val="0"/>
          </w:rPr>
          <w:t xml:space="preserve">(7,8)</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34">
      <w:pPr>
        <w:pStyle w:val="Heading3"/>
        <w:keepNext w:val="0"/>
        <w:keepLines w:val="0"/>
        <w:spacing w:line="276" w:lineRule="auto"/>
        <w:rPr>
          <w:rFonts w:ascii="Arial" w:cs="Arial" w:eastAsia="Arial" w:hAnsi="Arial"/>
          <w:sz w:val="26"/>
          <w:szCs w:val="26"/>
        </w:rPr>
      </w:pPr>
      <w:bookmarkStart w:colFirst="0" w:colLast="0" w:name="_6pusqkf4kj2l" w:id="1"/>
      <w:bookmarkEnd w:id="1"/>
      <w:r w:rsidDel="00000000" w:rsidR="00000000" w:rsidRPr="00000000">
        <w:rPr>
          <w:rFonts w:ascii="Arial" w:cs="Arial" w:eastAsia="Arial" w:hAnsi="Arial"/>
          <w:sz w:val="26"/>
          <w:szCs w:val="26"/>
          <w:rtl w:val="0"/>
        </w:rPr>
        <w:t xml:space="preserve">Background Review</w:t>
      </w:r>
    </w:p>
    <w:p w:rsidR="00000000" w:rsidDel="00000000" w:rsidP="00000000" w:rsidRDefault="00000000" w:rsidRPr="00000000" w14:paraId="00000035">
      <w:pPr>
        <w:spacing w:after="240" w:before="240" w:line="276" w:lineRule="auto"/>
        <w:rPr>
          <w:rFonts w:ascii="Arial" w:cs="Arial" w:eastAsia="Arial" w:hAnsi="Arial"/>
        </w:rPr>
      </w:pPr>
      <w:r w:rsidDel="00000000" w:rsidR="00000000" w:rsidRPr="00000000">
        <w:rPr>
          <w:rFonts w:ascii="Arial" w:cs="Arial" w:eastAsia="Arial" w:hAnsi="Arial"/>
          <w:rtl w:val="0"/>
        </w:rPr>
        <w:t xml:space="preserve">Peritoneal metastasis is a major determinant of prognosis and treatment strategy in gastric carcinoma. Although contrast-enhanced CT (CECT) remains the standard imaging modality for staging, its sensitivity is limited in detecting small-volume or occult peritoneal disease. Consequently, diagnostic laparoscopy continues to serve as the reference standard for the detection and assessment of peritoneal metastases.</w:t>
      </w:r>
    </w:p>
    <w:p w:rsidR="00000000" w:rsidDel="00000000" w:rsidP="00000000" w:rsidRDefault="00000000" w:rsidRPr="00000000" w14:paraId="00000036">
      <w:pPr>
        <w:spacing w:after="240" w:before="240" w:lineRule="auto"/>
        <w:rPr>
          <w:rFonts w:ascii="Arial" w:cs="Arial" w:eastAsia="Arial" w:hAnsi="Arial"/>
        </w:rPr>
      </w:pPr>
      <w:r w:rsidDel="00000000" w:rsidR="00000000" w:rsidRPr="00000000">
        <w:rPr>
          <w:rFonts w:ascii="Arial" w:cs="Arial" w:eastAsia="Arial" w:hAnsi="Arial"/>
          <w:rtl w:val="0"/>
        </w:rPr>
        <w:t xml:space="preserve">Fibroblast activation protein (FAP) is highly expressed in cancer-associated fibroblasts and represents a promising target for molecular imaging. Owing to the prominent stromal and desmoplastic reaction associated with peritoneal metastases, ⁶⁸Ga-FAPI PET/CT has demonstrated encouraging results and may offer superior detection of peritoneal disease, particularly in gastric cancers with low or variable FDG uptake. However, while several studies have compared FAPI PET/CT with FDG PET/CT, direct comparisons with CECT and correlation with findings at diagnostic laparoscopy remain limited. Therefore, this study aims to compare the performance of ⁶⁸Ga-FAPI-46 PET/CT, CECT, and diagnostic laparoscopy for the detection of peritoneal metastases and assessment of peritoneal cancer index (PCI) in newly diagnosed gastric carcinoma</w:t>
      </w:r>
      <w:hyperlink r:id="rId11">
        <w:r w:rsidDel="00000000" w:rsidR="00000000" w:rsidRPr="00000000">
          <w:rPr>
            <w:rFonts w:ascii="Arial" w:cs="Arial" w:eastAsia="Arial" w:hAnsi="Arial"/>
            <w:rtl w:val="0"/>
          </w:rPr>
          <w:t xml:space="preserve">(2,3,9)</w:t>
        </w:r>
      </w:hyperlink>
      <w:r w:rsidDel="00000000" w:rsidR="00000000" w:rsidRPr="00000000">
        <w:rPr>
          <w:rFonts w:ascii="Arial" w:cs="Arial" w:eastAsia="Arial" w:hAnsi="Arial"/>
          <w:rtl w:val="0"/>
        </w:rPr>
        <w:t xml:space="preserve">.</w:t>
      </w:r>
    </w:p>
    <w:p w:rsidR="00000000" w:rsidDel="00000000" w:rsidP="00000000" w:rsidRDefault="00000000" w:rsidRPr="00000000" w14:paraId="00000037">
      <w:pPr>
        <w:spacing w:after="240" w:before="240" w:lineRule="auto"/>
        <w:rPr>
          <w:rFonts w:ascii="Arial" w:cs="Arial" w:eastAsia="Arial" w:hAnsi="Arial"/>
        </w:rPr>
      </w:pPr>
      <w:r w:rsidDel="00000000" w:rsidR="00000000" w:rsidRPr="00000000">
        <w:rPr>
          <w:rFonts w:ascii="Arial" w:cs="Arial" w:eastAsia="Arial" w:hAnsi="Arial"/>
          <w:rtl w:val="0"/>
        </w:rPr>
        <w:t xml:space="preserve">The Peritoneal Cancer Index (PCI) is a validated scoring system used to quantify the extent of peritoneal disease by assessing lesion size across 13 abdominopelvic regions, with scores ranging from 0 to 39. Higher PCI scores reflect greater tumor burden and are associated with poorer prognosis, reduced likelihood of complete cytoreduction, and important implications for treatment selection</w:t>
      </w:r>
      <w:hyperlink r:id="rId12">
        <w:r w:rsidDel="00000000" w:rsidR="00000000" w:rsidRPr="00000000">
          <w:rPr>
            <w:rFonts w:ascii="Arial" w:cs="Arial" w:eastAsia="Arial" w:hAnsi="Arial"/>
            <w:rtl w:val="0"/>
          </w:rPr>
          <w:t xml:space="preserve">(10)</w:t>
        </w:r>
      </w:hyperlink>
      <w:r w:rsidDel="00000000" w:rsidR="00000000" w:rsidRPr="00000000">
        <w:rPr>
          <w:rFonts w:ascii="Arial" w:cs="Arial" w:eastAsia="Arial" w:hAnsi="Arial"/>
          <w:rtl w:val="0"/>
        </w:rPr>
        <w:t xml:space="preserve">.</w:t>
      </w:r>
    </w:p>
    <w:p w:rsidR="00000000" w:rsidDel="00000000" w:rsidP="00000000" w:rsidRDefault="00000000" w:rsidRPr="00000000" w14:paraId="00000038">
      <w:pPr>
        <w:spacing w:after="240" w:before="240" w:lineRule="auto"/>
        <w:rPr>
          <w:rFonts w:ascii="Arial" w:cs="Arial" w:eastAsia="Arial" w:hAnsi="Arial"/>
        </w:rPr>
      </w:pPr>
      <w:r w:rsidDel="00000000" w:rsidR="00000000" w:rsidRPr="00000000">
        <w:rPr>
          <w:rFonts w:ascii="Arial" w:cs="Arial" w:eastAsia="Arial" w:hAnsi="Arial"/>
          <w:rtl w:val="0"/>
        </w:rPr>
        <w:t xml:space="preserve">In a recent study evaluating peritoneal metastases from abdominal malignancies, ¹⁸F-FAPI-04 PET/CT demonstrated significantly higher tracer uptake and tumor-to-background ratios compared with ¹⁸F-FDG PET/CT. FAPI uptake showed a positive correlation with FAP and α-SMA expression on immunohistochemistry, supporting its biological basis as a marker of tumor-associated stromal activity. Furthermore, SUVmax on FAPI PET/CT emerged as an independent predictor of short-term treatment response (OR = 1.354, 95% CI: 1.025–1.788, P = 0.033), with an SUVmax cut-off of 11.05 yielding an AUC of 0.783, sensitivity of 70.6%, and specificity of 80.4%. The authors concluded that FAPI PET/CT may provide both superior lesion detection and prognostic information in patients with peritoneal metastases</w:t>
      </w:r>
      <w:hyperlink r:id="rId13">
        <w:r w:rsidDel="00000000" w:rsidR="00000000" w:rsidRPr="00000000">
          <w:rPr>
            <w:rFonts w:ascii="Arial" w:cs="Arial" w:eastAsia="Arial" w:hAnsi="Arial"/>
            <w:rtl w:val="0"/>
          </w:rPr>
          <w:t xml:space="preserve">(11)</w:t>
        </w:r>
      </w:hyperlink>
      <w:r w:rsidDel="00000000" w:rsidR="00000000" w:rsidRPr="00000000">
        <w:rPr>
          <w:rFonts w:ascii="Arial" w:cs="Arial" w:eastAsia="Arial" w:hAnsi="Arial"/>
          <w:rtl w:val="0"/>
        </w:rPr>
        <w:t xml:space="preserve">.</w:t>
      </w:r>
    </w:p>
    <w:p w:rsidR="00000000" w:rsidDel="00000000" w:rsidP="00000000" w:rsidRDefault="00000000" w:rsidRPr="00000000" w14:paraId="00000039">
      <w:pPr>
        <w:spacing w:after="240" w:before="240" w:lineRule="auto"/>
        <w:rPr>
          <w:rFonts w:ascii="Arial" w:cs="Arial" w:eastAsia="Arial" w:hAnsi="Arial"/>
        </w:rPr>
      </w:pPr>
      <w:r w:rsidDel="00000000" w:rsidR="00000000" w:rsidRPr="00000000">
        <w:rPr>
          <w:rFonts w:ascii="Arial" w:cs="Arial" w:eastAsia="Arial" w:hAnsi="Arial"/>
          <w:rtl w:val="0"/>
        </w:rPr>
        <w:t xml:space="preserve">In another study involving 57 patients with gastrointestinal malignancies, ⁶⁸Ga-FAPI-04 PET/CT demonstrated significantly higher diagnostic accuracy than CECT for the detection of peritoneal metastases. FAPI PET/CT showed a sensitivity of 97.06% and specificity of 95.65%, compared with 64.71% and 78.26%, respectively, for CECT, with a significantly higher AUC (0.964 vs. 0.715, P &lt; 0.001). In addition, FAPI PET/CT identified a greater peritoneal disease burden, with significantly higher PCI scores than CECT (median PCI-region 6.5 vs. 1, P &lt; 0.001). Importantly, the additional findings on FAPI PET/CT resulted in changes to the planned treatment strategy in nearly one-third of patients (29.82%), highlighting its potential impact on clinical decision-making and management of peritoneal carcinomatosis</w:t>
      </w:r>
      <w:hyperlink r:id="rId14">
        <w:r w:rsidDel="00000000" w:rsidR="00000000" w:rsidRPr="00000000">
          <w:rPr>
            <w:rFonts w:ascii="Arial" w:cs="Arial" w:eastAsia="Arial" w:hAnsi="Arial"/>
            <w:rtl w:val="0"/>
          </w:rPr>
          <w:t xml:space="preserve">(12)</w:t>
        </w:r>
      </w:hyperlink>
      <w:r w:rsidDel="00000000" w:rsidR="00000000" w:rsidRPr="00000000">
        <w:rPr>
          <w:rFonts w:ascii="Arial" w:cs="Arial" w:eastAsia="Arial" w:hAnsi="Arial"/>
          <w:rtl w:val="0"/>
        </w:rPr>
        <w:t xml:space="preserve">.</w:t>
      </w:r>
    </w:p>
    <w:p w:rsidR="00000000" w:rsidDel="00000000" w:rsidP="00000000" w:rsidRDefault="00000000" w:rsidRPr="00000000" w14:paraId="0000003A">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Lacunae in Literature:</w:t>
      </w:r>
    </w:p>
    <w:p w:rsidR="00000000" w:rsidDel="00000000" w:rsidP="00000000" w:rsidRDefault="00000000" w:rsidRPr="00000000" w14:paraId="0000003B">
      <w:pPr>
        <w:spacing w:after="240" w:before="240" w:lineRule="auto"/>
        <w:rPr>
          <w:rFonts w:ascii="Arial" w:cs="Arial" w:eastAsia="Arial" w:hAnsi="Arial"/>
        </w:rPr>
      </w:pPr>
      <w:r w:rsidDel="00000000" w:rsidR="00000000" w:rsidRPr="00000000">
        <w:rPr>
          <w:rFonts w:ascii="Arial" w:cs="Arial" w:eastAsia="Arial" w:hAnsi="Arial"/>
          <w:rtl w:val="0"/>
        </w:rPr>
        <w:t xml:space="preserve">Accurate detection of peritoneal metastases is crucial in the staging and treatment planning of gastric carcinoma, as the presence and extent of peritoneal disease can significantly influence therapeutic decisions and patient outcomes. Several studies have reported promising results and have demonstrated improved lesion detection with FAPI PET/CT as compared to ¹⁸F-FDG PET/CT, particularly in tumors with low FDG avidity and in the assessment of peritoneal disease. However, while the comparison between FAPI PET/CT and FDG PET/CT has been explored in multiple studies </w:t>
      </w:r>
      <w:hyperlink r:id="rId15">
        <w:r w:rsidDel="00000000" w:rsidR="00000000" w:rsidRPr="00000000">
          <w:rPr>
            <w:rFonts w:ascii="Arial" w:cs="Arial" w:eastAsia="Arial" w:hAnsi="Arial"/>
            <w:rtl w:val="0"/>
          </w:rPr>
          <w:t xml:space="preserve">(7,13)</w:t>
        </w:r>
      </w:hyperlink>
      <w:r w:rsidDel="00000000" w:rsidR="00000000" w:rsidRPr="00000000">
        <w:rPr>
          <w:rFonts w:ascii="Arial" w:cs="Arial" w:eastAsia="Arial" w:hAnsi="Arial"/>
          <w:rtl w:val="0"/>
        </w:rPr>
        <w:t xml:space="preserve">, relatively few studies have evaluated the performance of FAPI PET/CT against contrast-enhanced CT (CECT), which remains the imaging modality most commonly used for staging gastric carcinoma in routine clinical practice</w:t>
      </w:r>
      <w:hyperlink r:id="rId16">
        <w:r w:rsidDel="00000000" w:rsidR="00000000" w:rsidRPr="00000000">
          <w:rPr>
            <w:rFonts w:ascii="Arial" w:cs="Arial" w:eastAsia="Arial" w:hAnsi="Arial"/>
            <w:rtl w:val="0"/>
          </w:rPr>
          <w:t xml:space="preserve">(4,14)</w:t>
        </w:r>
      </w:hyperlink>
      <w:r w:rsidDel="00000000" w:rsidR="00000000" w:rsidRPr="00000000">
        <w:rPr>
          <w:rFonts w:ascii="Arial" w:cs="Arial" w:eastAsia="Arial" w:hAnsi="Arial"/>
          <w:rtl w:val="0"/>
        </w:rPr>
        <w:t xml:space="preserve">. In addition, data correlating FAPI PET/CT findings with findings at diagnostic laparoscopy and peritoneal cancer index (PCI) assessment remain limited.</w:t>
      </w:r>
    </w:p>
    <w:p w:rsidR="00000000" w:rsidDel="00000000" w:rsidP="00000000" w:rsidRDefault="00000000" w:rsidRPr="00000000" w14:paraId="0000003C">
      <w:pPr>
        <w:spacing w:after="240" w:before="240" w:lineRule="auto"/>
        <w:rPr>
          <w:rFonts w:ascii="Arial" w:cs="Arial" w:eastAsia="Arial" w:hAnsi="Arial"/>
        </w:rPr>
      </w:pPr>
      <w:r w:rsidDel="00000000" w:rsidR="00000000" w:rsidRPr="00000000">
        <w:rPr>
          <w:rFonts w:ascii="Arial" w:cs="Arial" w:eastAsia="Arial" w:hAnsi="Arial"/>
          <w:rtl w:val="0"/>
        </w:rPr>
        <w:t xml:space="preserve">Diagnostic laparoscopy continues to be an essential component of staging in gastric carcinoma because of its ability to detect small-volume and occult peritoneal metastases that may not be evident on imaging</w:t>
      </w:r>
      <w:hyperlink r:id="rId17">
        <w:r w:rsidDel="00000000" w:rsidR="00000000" w:rsidRPr="00000000">
          <w:rPr>
            <w:rFonts w:ascii="Arial" w:cs="Arial" w:eastAsia="Arial" w:hAnsi="Arial"/>
            <w:rtl w:val="0"/>
          </w:rPr>
          <w:t xml:space="preserve">(11)</w:t>
        </w:r>
      </w:hyperlink>
      <w:r w:rsidDel="00000000" w:rsidR="00000000" w:rsidRPr="00000000">
        <w:rPr>
          <w:rFonts w:ascii="Arial" w:cs="Arial" w:eastAsia="Arial" w:hAnsi="Arial"/>
          <w:rtl w:val="0"/>
        </w:rPr>
        <w:t xml:space="preserve">. Therefore, it is important to assess how closely the findings on FAPI PET/CT correspond with those observed during laparoscopy and whether FAPI PET/CT can provide additional information that may aid in preoperative assessment and treatment planning.</w:t>
      </w:r>
    </w:p>
    <w:p w:rsidR="00000000" w:rsidDel="00000000" w:rsidP="00000000" w:rsidRDefault="00000000" w:rsidRPr="00000000" w14:paraId="0000003D">
      <w:pPr>
        <w:spacing w:after="240" w:before="240" w:lineRule="auto"/>
        <w:rPr>
          <w:rFonts w:ascii="Arial" w:cs="Arial" w:eastAsia="Arial" w:hAnsi="Arial"/>
        </w:rPr>
      </w:pPr>
      <w:r w:rsidDel="00000000" w:rsidR="00000000" w:rsidRPr="00000000">
        <w:rPr>
          <w:rFonts w:ascii="Arial" w:cs="Arial" w:eastAsia="Arial" w:hAnsi="Arial"/>
          <w:rtl w:val="0"/>
        </w:rPr>
        <w:t xml:space="preserve">The present study is designed to compare the ability of ⁶⁸Ga-FAPI-46 PET/CT, CECT, and diagnostic laparoscopy to detect peritoneal metastases in patients with newly diagnosed gastric carcinoma. The study will also compare the PCI scores obtained by these modalities and evaluate the potential influence of FAPI PET/CT findings on subsequent management decisions.</w:t>
      </w:r>
    </w:p>
    <w:p w:rsidR="00000000" w:rsidDel="00000000" w:rsidP="00000000" w:rsidRDefault="00000000" w:rsidRPr="00000000" w14:paraId="0000003E">
      <w:pPr>
        <w:pStyle w:val="Heading3"/>
        <w:keepNext w:val="0"/>
        <w:keepLines w:val="0"/>
        <w:spacing w:line="276" w:lineRule="auto"/>
        <w:rPr>
          <w:rFonts w:ascii="Arial" w:cs="Arial" w:eastAsia="Arial" w:hAnsi="Arial"/>
          <w:sz w:val="26"/>
          <w:szCs w:val="26"/>
          <w:highlight w:val="yellow"/>
        </w:rPr>
      </w:pPr>
      <w:bookmarkStart w:colFirst="0" w:colLast="0" w:name="_eyqkdlfaf9fm" w:id="2"/>
      <w:bookmarkEnd w:id="2"/>
      <w:r w:rsidDel="00000000" w:rsidR="00000000" w:rsidRPr="00000000">
        <w:rPr>
          <w:rFonts w:ascii="Arial" w:cs="Arial" w:eastAsia="Arial" w:hAnsi="Arial"/>
          <w:sz w:val="26"/>
          <w:szCs w:val="26"/>
          <w:rtl w:val="0"/>
        </w:rPr>
        <w:t xml:space="preserve">Aims and Objectives </w:t>
      </w:r>
      <w:r w:rsidDel="00000000" w:rsidR="00000000" w:rsidRPr="00000000">
        <w:rPr>
          <w:rtl w:val="0"/>
        </w:rPr>
      </w:r>
    </w:p>
    <w:p w:rsidR="00000000" w:rsidDel="00000000" w:rsidP="00000000" w:rsidRDefault="00000000" w:rsidRPr="00000000" w14:paraId="0000003F">
      <w:pPr>
        <w:pStyle w:val="Heading4"/>
        <w:keepNext w:val="0"/>
        <w:keepLines w:val="0"/>
        <w:spacing w:line="276" w:lineRule="auto"/>
        <w:rPr>
          <w:rFonts w:ascii="Arial" w:cs="Arial" w:eastAsia="Arial" w:hAnsi="Arial"/>
          <w:sz w:val="22"/>
          <w:szCs w:val="22"/>
        </w:rPr>
      </w:pPr>
      <w:bookmarkStart w:colFirst="0" w:colLast="0" w:name="_tcfrmqkkvh5o" w:id="3"/>
      <w:bookmarkEnd w:id="3"/>
      <w:r w:rsidDel="00000000" w:rsidR="00000000" w:rsidRPr="00000000">
        <w:rPr>
          <w:rFonts w:ascii="Arial" w:cs="Arial" w:eastAsia="Arial" w:hAnsi="Arial"/>
          <w:sz w:val="22"/>
          <w:szCs w:val="22"/>
          <w:rtl w:val="0"/>
        </w:rPr>
        <w:t xml:space="preserve">Primary Objectives:</w:t>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compare the diagnostic performance of FAPI PET-CT, CECT, and diagnostic laparoscopy in the detection of peritoneal metastases in patients with newly diagnosed gastric carcinoma.</w:t>
      </w:r>
    </w:p>
    <w:p w:rsidR="00000000" w:rsidDel="00000000" w:rsidP="00000000" w:rsidRDefault="00000000" w:rsidRPr="00000000" w14:paraId="00000042">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compare the PCI score detected by FAPI PET-CT, CECT, and diagnostic laparoscopy.</w:t>
      </w:r>
    </w:p>
    <w:p w:rsidR="00000000" w:rsidDel="00000000" w:rsidP="00000000" w:rsidRDefault="00000000" w:rsidRPr="00000000" w14:paraId="00000043">
      <w:pPr>
        <w:pStyle w:val="Heading4"/>
        <w:keepNext w:val="0"/>
        <w:keepLines w:val="0"/>
        <w:spacing w:line="276" w:lineRule="auto"/>
        <w:rPr>
          <w:rFonts w:ascii="Arial" w:cs="Arial" w:eastAsia="Arial" w:hAnsi="Arial"/>
          <w:sz w:val="22"/>
          <w:szCs w:val="22"/>
        </w:rPr>
      </w:pPr>
      <w:bookmarkStart w:colFirst="0" w:colLast="0" w:name="_7omxodf2g7v2" w:id="4"/>
      <w:bookmarkEnd w:id="4"/>
      <w:r w:rsidDel="00000000" w:rsidR="00000000" w:rsidRPr="00000000">
        <w:rPr>
          <w:rFonts w:ascii="Arial" w:cs="Arial" w:eastAsia="Arial" w:hAnsi="Arial"/>
          <w:sz w:val="22"/>
          <w:szCs w:val="22"/>
          <w:rtl w:val="0"/>
        </w:rPr>
        <w:t xml:space="preserve">Secondary Objectives:</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widowControl w:val="0"/>
        <w:numPr>
          <w:ilvl w:val="0"/>
          <w:numId w:val="3"/>
        </w:numPr>
        <w:spacing w:after="0" w:before="0" w:line="276" w:lineRule="auto"/>
        <w:ind w:left="720" w:right="39" w:hanging="360"/>
        <w:jc w:val="both"/>
        <w:rPr>
          <w:rFonts w:ascii="Arial" w:cs="Arial" w:eastAsia="Arial" w:hAnsi="Arial"/>
        </w:rPr>
      </w:pPr>
      <w:r w:rsidDel="00000000" w:rsidR="00000000" w:rsidRPr="00000000">
        <w:rPr>
          <w:rFonts w:ascii="Arial" w:cs="Arial" w:eastAsia="Arial" w:hAnsi="Arial"/>
          <w:rtl w:val="0"/>
        </w:rPr>
        <w:t xml:space="preserve">To evaluate the impact of FAPI PET-CT in changing the management in newly diagnosed cases of gastric carcinoma.</w:t>
      </w:r>
    </w:p>
    <w:p w:rsidR="00000000" w:rsidDel="00000000" w:rsidP="00000000" w:rsidRDefault="00000000" w:rsidRPr="00000000" w14:paraId="00000046">
      <w:pPr>
        <w:pStyle w:val="Heading3"/>
        <w:keepNext w:val="0"/>
        <w:keepLines w:val="0"/>
        <w:spacing w:line="276" w:lineRule="auto"/>
        <w:rPr>
          <w:rFonts w:ascii="Arial" w:cs="Arial" w:eastAsia="Arial" w:hAnsi="Arial"/>
          <w:sz w:val="26"/>
          <w:szCs w:val="26"/>
        </w:rPr>
      </w:pPr>
      <w:bookmarkStart w:colFirst="0" w:colLast="0" w:name="_ly1ufyauvgxe" w:id="5"/>
      <w:bookmarkEnd w:id="5"/>
      <w:r w:rsidDel="00000000" w:rsidR="00000000" w:rsidRPr="00000000">
        <w:rPr>
          <w:rFonts w:ascii="Arial" w:cs="Arial" w:eastAsia="Arial" w:hAnsi="Arial"/>
          <w:sz w:val="26"/>
          <w:szCs w:val="26"/>
          <w:rtl w:val="0"/>
        </w:rPr>
        <w:t xml:space="preserve">Materials and Methods</w:t>
      </w:r>
    </w:p>
    <w:p w:rsidR="00000000" w:rsidDel="00000000" w:rsidP="00000000" w:rsidRDefault="00000000" w:rsidRPr="00000000" w14:paraId="00000047">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Study Design:</w:t>
      </w:r>
    </w:p>
    <w:p w:rsidR="00000000" w:rsidDel="00000000" w:rsidP="00000000" w:rsidRDefault="00000000" w:rsidRPr="00000000" w14:paraId="00000048">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This is a prospective, sponsored, single-center interventional study.</w:t>
      </w:r>
    </w:p>
    <w:p w:rsidR="00000000" w:rsidDel="00000000" w:rsidP="00000000" w:rsidRDefault="00000000" w:rsidRPr="00000000" w14:paraId="00000049">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Place and time of study: </w:t>
      </w:r>
    </w:p>
    <w:p w:rsidR="00000000" w:rsidDel="00000000" w:rsidP="00000000" w:rsidRDefault="00000000" w:rsidRPr="00000000" w14:paraId="0000004A">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study will be conducted at Tata Medical Center, Kolkata, in the department of Nuclear Medicine with assistance from the department of Gastrointestinal and Hepatobiliary (GI-HPB) Surgery and the department of Radiology</w:t>
      </w:r>
    </w:p>
    <w:p w:rsidR="00000000" w:rsidDel="00000000" w:rsidP="00000000" w:rsidRDefault="00000000" w:rsidRPr="00000000" w14:paraId="0000004B">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expected duration of this study is 1 year between July 2026 to June 2027.</w:t>
      </w:r>
    </w:p>
    <w:p w:rsidR="00000000" w:rsidDel="00000000" w:rsidP="00000000" w:rsidRDefault="00000000" w:rsidRPr="00000000" w14:paraId="0000004C">
      <w:pPr>
        <w:spacing w:after="240" w:before="240" w:line="276" w:lineRule="auto"/>
        <w:rPr>
          <w:rFonts w:ascii="Arial" w:cs="Arial" w:eastAsia="Arial" w:hAnsi="Arial"/>
          <w:b w:val="1"/>
          <w:bCs w:val="1"/>
        </w:rPr>
      </w:pPr>
      <w:r w:rsidDel="00000000" w:rsidR="00000000" w:rsidRPr="00000000">
        <w:rPr>
          <w:rFonts w:ascii="Arial" w:cs="Arial" w:eastAsia="Arial" w:hAnsi="Arial"/>
          <w:rtl w:val="0"/>
        </w:rPr>
        <w:t xml:space="preserve">It shall be conducted upon receiving approval from the Institutional Review Board (IRB). Patient confidentiality will be maintained with compliance to Good Clinical Practice (GCP) guidelines.</w:t>
      </w:r>
      <w:r w:rsidDel="00000000" w:rsidR="00000000" w:rsidRPr="00000000">
        <w:rPr>
          <w:rtl w:val="0"/>
        </w:rPr>
      </w:r>
    </w:p>
    <w:p w:rsidR="00000000" w:rsidDel="00000000" w:rsidP="00000000" w:rsidRDefault="00000000" w:rsidRPr="00000000" w14:paraId="0000004D">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Patient population:</w:t>
      </w:r>
    </w:p>
    <w:p w:rsidR="00000000" w:rsidDel="00000000" w:rsidP="00000000" w:rsidRDefault="00000000" w:rsidRPr="00000000" w14:paraId="0000004E">
      <w:pPr>
        <w:spacing w:after="240" w:before="240" w:lineRule="auto"/>
        <w:rPr>
          <w:rFonts w:ascii="Arial" w:cs="Arial" w:eastAsia="Arial" w:hAnsi="Arial"/>
        </w:rPr>
      </w:pPr>
      <w:r w:rsidDel="00000000" w:rsidR="00000000" w:rsidRPr="00000000">
        <w:rPr>
          <w:rFonts w:ascii="Arial" w:cs="Arial" w:eastAsia="Arial" w:hAnsi="Arial"/>
          <w:rtl w:val="0"/>
        </w:rPr>
        <w:t xml:space="preserve">This study will evaluate patients with newly diagnosed gastric carcinoma who after fulfilling the inclusion criteria, will undergo FAPI PET-CT, contrast-enhanced computed tomography (CECT) of the whole abdomen, and diagnostic laparoscopy for initial staging and assessment of peritoneal metastases. Only treatment-naïve patients with newly diagnosed gastric adenocarcinoma will be included in the study.</w:t>
      </w:r>
    </w:p>
    <w:p w:rsidR="00000000" w:rsidDel="00000000" w:rsidP="00000000" w:rsidRDefault="00000000" w:rsidRPr="00000000" w14:paraId="0000004F">
      <w:pPr>
        <w:spacing w:after="240" w:before="240" w:lineRule="auto"/>
        <w:rPr>
          <w:rFonts w:ascii="Arial" w:cs="Arial" w:eastAsia="Arial" w:hAnsi="Arial"/>
        </w:rPr>
      </w:pPr>
      <w:r w:rsidDel="00000000" w:rsidR="00000000" w:rsidRPr="00000000">
        <w:rPr>
          <w:rFonts w:ascii="Arial" w:cs="Arial" w:eastAsia="Arial" w:hAnsi="Arial"/>
          <w:rtl w:val="0"/>
        </w:rPr>
        <w:t xml:space="preserve">Patients will be recruited prospectively. Enrolment will be on a rolling basis. The anticipated study completion date is at the end of one year, to ensure adequate data collection and assessment of treatment decisions influenced by imaging findings.</w:t>
      </w:r>
    </w:p>
    <w:p w:rsidR="00000000" w:rsidDel="00000000" w:rsidP="00000000" w:rsidRDefault="00000000" w:rsidRPr="00000000" w14:paraId="00000050">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Sample size calculation:</w:t>
      </w:r>
    </w:p>
    <w:p w:rsidR="00000000" w:rsidDel="00000000" w:rsidP="00000000" w:rsidRDefault="00000000" w:rsidRPr="00000000" w14:paraId="00000051">
      <w:pPr>
        <w:spacing w:after="240" w:before="240" w:line="276" w:lineRule="auto"/>
        <w:rPr>
          <w:rFonts w:ascii="Arial" w:cs="Arial" w:eastAsia="Arial" w:hAnsi="Arial"/>
        </w:rPr>
      </w:pPr>
      <w:r w:rsidDel="00000000" w:rsidR="00000000" w:rsidRPr="00000000">
        <w:rPr>
          <w:rFonts w:ascii="Arial" w:cs="Arial" w:eastAsia="Arial" w:hAnsi="Arial"/>
          <w:rtl w:val="0"/>
        </w:rPr>
        <w:t xml:space="preserve">Since this is a pilot study with a tentative grant of 2,00,000.00 Indian Rupees (TWO LAKH INDIAN RUPEES), considering the breakdown given below:</w:t>
      </w:r>
      <w:r w:rsidDel="00000000" w:rsidR="00000000" w:rsidRPr="00000000">
        <w:rPr>
          <w:rtl w:val="0"/>
        </w:rPr>
      </w:r>
    </w:p>
    <w:p w:rsidR="00000000" w:rsidDel="00000000" w:rsidP="00000000" w:rsidRDefault="00000000" w:rsidRPr="00000000" w14:paraId="00000052">
      <w:pPr>
        <w:widowControl w:val="0"/>
        <w:numPr>
          <w:ilvl w:val="0"/>
          <w:numId w:val="1"/>
        </w:numPr>
        <w:spacing w:after="0" w:afterAutospacing="0" w:before="24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68Ga radioisotope per patient: 4,000.00 Indian Rupees</w:t>
      </w:r>
    </w:p>
    <w:p w:rsidR="00000000" w:rsidDel="00000000" w:rsidP="00000000" w:rsidRDefault="00000000" w:rsidRPr="00000000" w14:paraId="00000053">
      <w:pPr>
        <w:widowControl w:val="0"/>
        <w:numPr>
          <w:ilvl w:val="0"/>
          <w:numId w:val="1"/>
        </w:numPr>
        <w:spacing w:after="0" w:afterAutospacing="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68Ga reagent per patient: 5,500.00 Indian Rupees</w:t>
      </w:r>
      <w:r w:rsidDel="00000000" w:rsidR="00000000" w:rsidRPr="00000000">
        <w:rPr>
          <w:rtl w:val="0"/>
        </w:rPr>
      </w:r>
    </w:p>
    <w:p w:rsidR="00000000" w:rsidDel="00000000" w:rsidP="00000000" w:rsidRDefault="00000000" w:rsidRPr="00000000" w14:paraId="00000054">
      <w:pPr>
        <w:widowControl w:val="0"/>
        <w:numPr>
          <w:ilvl w:val="0"/>
          <w:numId w:val="1"/>
        </w:numPr>
        <w:spacing w:after="0" w:afterAutospacing="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Cost of consumables per patient: 500.00 Indian Rupees</w:t>
      </w:r>
      <w:r w:rsidDel="00000000" w:rsidR="00000000" w:rsidRPr="00000000">
        <w:rPr>
          <w:rtl w:val="0"/>
        </w:rPr>
      </w:r>
    </w:p>
    <w:p w:rsidR="00000000" w:rsidDel="00000000" w:rsidP="00000000" w:rsidRDefault="00000000" w:rsidRPr="00000000" w14:paraId="00000055">
      <w:pPr>
        <w:widowControl w:val="0"/>
        <w:numPr>
          <w:ilvl w:val="0"/>
          <w:numId w:val="1"/>
        </w:numPr>
        <w:spacing w:after="0" w:before="0" w:beforeAutospacing="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Total cost per patient: 10,000.00 Indian Rupees</w:t>
      </w:r>
      <w:r w:rsidDel="00000000" w:rsidR="00000000" w:rsidRPr="00000000">
        <w:rPr>
          <w:rtl w:val="0"/>
        </w:rPr>
      </w:r>
    </w:p>
    <w:p w:rsidR="00000000" w:rsidDel="00000000" w:rsidP="00000000" w:rsidRDefault="00000000" w:rsidRPr="00000000" w14:paraId="00000056">
      <w:pPr>
        <w:widowControl w:val="0"/>
        <w:spacing w:after="0" w:before="240" w:line="276" w:lineRule="auto"/>
        <w:rPr>
          <w:rFonts w:ascii="Arial" w:cs="Arial" w:eastAsia="Arial" w:hAnsi="Arial"/>
        </w:rPr>
      </w:pPr>
      <w:r w:rsidDel="00000000" w:rsidR="00000000" w:rsidRPr="00000000">
        <w:rPr>
          <w:rFonts w:ascii="Arial" w:cs="Arial" w:eastAsia="Arial" w:hAnsi="Arial"/>
          <w:rtl w:val="0"/>
        </w:rPr>
        <w:t xml:space="preserve">a total of </w:t>
      </w:r>
      <w:r w:rsidDel="00000000" w:rsidR="00000000" w:rsidRPr="00000000">
        <w:rPr>
          <w:rFonts w:ascii="Arial" w:cs="Arial" w:eastAsia="Arial" w:hAnsi="Arial"/>
          <w:rtl w:val="0"/>
        </w:rPr>
        <w:t xml:space="preserve">20 patients can be feasibly scanned.</w:t>
      </w:r>
      <w:r w:rsidDel="00000000" w:rsidR="00000000" w:rsidRPr="00000000">
        <w:rPr>
          <w:rtl w:val="0"/>
        </w:rPr>
      </w:r>
    </w:p>
    <w:p w:rsidR="00000000" w:rsidDel="00000000" w:rsidP="00000000" w:rsidRDefault="00000000" w:rsidRPr="00000000" w14:paraId="00000057">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Inclusion Criteria:</w:t>
      </w:r>
    </w:p>
    <w:p w:rsidR="00000000" w:rsidDel="00000000" w:rsidP="00000000" w:rsidRDefault="00000000" w:rsidRPr="00000000" w14:paraId="00000058">
      <w:pPr>
        <w:numPr>
          <w:ilvl w:val="0"/>
          <w:numId w:val="5"/>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Consenting patients who were recently diagnosed with primary gastric adenocarcinoma with clinically and radiologically suspected peritoneal carcinomatosis</w:t>
      </w:r>
    </w:p>
    <w:p w:rsidR="00000000" w:rsidDel="00000000" w:rsidP="00000000" w:rsidRDefault="00000000" w:rsidRPr="00000000" w14:paraId="00000059">
      <w:pPr>
        <w:numPr>
          <w:ilvl w:val="0"/>
          <w:numId w:val="5"/>
        </w:numPr>
        <w:spacing w:after="0" w:before="0" w:line="276" w:lineRule="auto"/>
        <w:ind w:left="720" w:hanging="360"/>
        <w:rPr>
          <w:rFonts w:ascii="Arial" w:cs="Arial" w:eastAsia="Arial" w:hAnsi="Arial"/>
        </w:rPr>
      </w:pPr>
      <w:r w:rsidDel="00000000" w:rsidR="00000000" w:rsidRPr="00000000">
        <w:rPr>
          <w:rFonts w:ascii="Arial" w:cs="Arial" w:eastAsia="Arial" w:hAnsi="Arial"/>
          <w:rtl w:val="0"/>
        </w:rPr>
        <w:t xml:space="preserve">Age &gt; 18 years</w:t>
      </w:r>
    </w:p>
    <w:p w:rsidR="00000000" w:rsidDel="00000000" w:rsidP="00000000" w:rsidRDefault="00000000" w:rsidRPr="00000000" w14:paraId="0000005A">
      <w:pPr>
        <w:numPr>
          <w:ilvl w:val="0"/>
          <w:numId w:val="5"/>
        </w:numPr>
        <w:spacing w:after="240" w:before="0" w:line="276" w:lineRule="auto"/>
        <w:ind w:left="720" w:hanging="360"/>
        <w:rPr>
          <w:rFonts w:ascii="Arial" w:cs="Arial" w:eastAsia="Arial" w:hAnsi="Arial"/>
        </w:rPr>
      </w:pPr>
      <w:r w:rsidDel="00000000" w:rsidR="00000000" w:rsidRPr="00000000">
        <w:rPr>
          <w:rFonts w:ascii="Arial" w:cs="Arial" w:eastAsia="Arial" w:hAnsi="Arial"/>
          <w:rtl w:val="0"/>
        </w:rPr>
        <w:t xml:space="preserve">Having normal renal function with creatinine clearance &gt; 50mL/min</w:t>
      </w:r>
    </w:p>
    <w:p w:rsidR="00000000" w:rsidDel="00000000" w:rsidP="00000000" w:rsidRDefault="00000000" w:rsidRPr="00000000" w14:paraId="0000005B">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Exclusion Criteria:</w:t>
      </w:r>
    </w:p>
    <w:p w:rsidR="00000000" w:rsidDel="00000000" w:rsidP="00000000" w:rsidRDefault="00000000" w:rsidRPr="00000000" w14:paraId="0000005C">
      <w:pPr>
        <w:numPr>
          <w:ilvl w:val="0"/>
          <w:numId w:val="2"/>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Pregnant or lactating women.</w:t>
      </w:r>
    </w:p>
    <w:p w:rsidR="00000000" w:rsidDel="00000000" w:rsidP="00000000" w:rsidRDefault="00000000" w:rsidRPr="00000000" w14:paraId="0000005D">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who will not undergo diagnostic laparoscopy after CECT</w:t>
      </w:r>
    </w:p>
    <w:p w:rsidR="00000000" w:rsidDel="00000000" w:rsidP="00000000" w:rsidRDefault="00000000" w:rsidRPr="00000000" w14:paraId="0000005E">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with serious co-morbidities or active infectious/ inflammatory disease</w:t>
      </w:r>
    </w:p>
    <w:p w:rsidR="00000000" w:rsidDel="00000000" w:rsidP="00000000" w:rsidRDefault="00000000" w:rsidRPr="00000000" w14:paraId="0000005F">
      <w:pPr>
        <w:numPr>
          <w:ilvl w:val="0"/>
          <w:numId w:val="2"/>
        </w:numPr>
        <w:spacing w:after="0" w:before="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Patients with known bleeding disorder</w:t>
      </w:r>
    </w:p>
    <w:p w:rsidR="00000000" w:rsidDel="00000000" w:rsidP="00000000" w:rsidRDefault="00000000" w:rsidRPr="00000000" w14:paraId="00000060">
      <w:pPr>
        <w:numPr>
          <w:ilvl w:val="0"/>
          <w:numId w:val="2"/>
        </w:numPr>
        <w:spacing w:after="240" w:before="0" w:line="276" w:lineRule="auto"/>
        <w:ind w:left="720" w:hanging="360"/>
        <w:rPr>
          <w:rFonts w:ascii="Arial" w:cs="Arial" w:eastAsia="Arial" w:hAnsi="Arial"/>
        </w:rPr>
      </w:pPr>
      <w:r w:rsidDel="00000000" w:rsidR="00000000" w:rsidRPr="00000000">
        <w:rPr>
          <w:rFonts w:ascii="Arial" w:cs="Arial" w:eastAsia="Arial" w:hAnsi="Arial"/>
          <w:rtl w:val="0"/>
        </w:rPr>
        <w:t xml:space="preserve">Patients with any other histopathology apart from gastric adenocarcinoma</w:t>
      </w:r>
    </w:p>
    <w:p w:rsidR="00000000" w:rsidDel="00000000" w:rsidP="00000000" w:rsidRDefault="00000000" w:rsidRPr="00000000" w14:paraId="00000061">
      <w:pPr>
        <w:pStyle w:val="Heading4"/>
        <w:keepNext w:val="0"/>
        <w:keepLines w:val="0"/>
        <w:spacing w:line="276" w:lineRule="auto"/>
        <w:rPr>
          <w:rFonts w:ascii="Arial" w:cs="Arial" w:eastAsia="Arial" w:hAnsi="Arial"/>
          <w:sz w:val="22"/>
          <w:szCs w:val="22"/>
        </w:rPr>
      </w:pPr>
      <w:bookmarkStart w:colFirst="0" w:colLast="0" w:name="_3zhp52do58fi" w:id="6"/>
      <w:bookmarkEnd w:id="6"/>
      <w:r w:rsidDel="00000000" w:rsidR="00000000" w:rsidRPr="00000000">
        <w:rPr>
          <w:rFonts w:ascii="Arial" w:cs="Arial" w:eastAsia="Arial" w:hAnsi="Arial"/>
          <w:sz w:val="22"/>
          <w:szCs w:val="22"/>
          <w:rtl w:val="0"/>
        </w:rPr>
        <w:t xml:space="preserve">Methodology</w:t>
      </w:r>
    </w:p>
    <w:p w:rsidR="00000000" w:rsidDel="00000000" w:rsidP="00000000" w:rsidRDefault="00000000" w:rsidRPr="00000000" w14:paraId="00000062">
      <w:pPr>
        <w:widowControl w:val="0"/>
        <w:numPr>
          <w:ilvl w:val="0"/>
          <w:numId w:val="7"/>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All consenting patients newly diagnosed with pathologically confirmed gastric adenocarcinoma with suspected clinical peritoneal involvement will be enrolled in the study.</w:t>
      </w:r>
    </w:p>
    <w:p w:rsidR="00000000" w:rsidDel="00000000" w:rsidP="00000000" w:rsidRDefault="00000000" w:rsidRPr="00000000" w14:paraId="00000063">
      <w:pPr>
        <w:widowControl w:val="0"/>
        <w:numPr>
          <w:ilvl w:val="0"/>
          <w:numId w:val="7"/>
        </w:numPr>
        <w:spacing w:after="0" w:lineRule="auto"/>
        <w:ind w:left="720" w:right="36" w:hanging="360"/>
        <w:rPr>
          <w:rFonts w:ascii="Arial" w:cs="Arial" w:eastAsia="Arial" w:hAnsi="Arial"/>
        </w:rPr>
      </w:pPr>
      <w:r w:rsidDel="00000000" w:rsidR="00000000" w:rsidRPr="00000000">
        <w:rPr>
          <w:rFonts w:ascii="Arial" w:cs="Arial" w:eastAsia="Arial" w:hAnsi="Arial"/>
          <w:rtl w:val="0"/>
        </w:rPr>
        <w:t xml:space="preserve">CECT Thorax and Whole Abdomen will be performed according to the institutional protocol.</w:t>
      </w:r>
    </w:p>
    <w:p w:rsidR="00000000" w:rsidDel="00000000" w:rsidP="00000000" w:rsidRDefault="00000000" w:rsidRPr="00000000" w14:paraId="00000064">
      <w:pPr>
        <w:widowControl w:val="0"/>
        <w:numPr>
          <w:ilvl w:val="0"/>
          <w:numId w:val="7"/>
        </w:numPr>
        <w:spacing w:after="0" w:lineRule="auto"/>
        <w:ind w:left="720" w:right="36" w:hanging="360"/>
        <w:rPr>
          <w:rFonts w:ascii="Arial" w:cs="Arial" w:eastAsia="Arial" w:hAnsi="Arial"/>
        </w:rPr>
      </w:pPr>
      <w:r w:rsidDel="00000000" w:rsidR="00000000" w:rsidRPr="00000000">
        <w:rPr>
          <w:rFonts w:ascii="Arial" w:cs="Arial" w:eastAsia="Arial" w:hAnsi="Arial"/>
          <w:rtl w:val="0"/>
        </w:rPr>
        <w:t xml:space="preserve">68Ga FAPI PET-CT will be performed within 7 days of CECT.</w:t>
      </w:r>
    </w:p>
    <w:p w:rsidR="00000000" w:rsidDel="00000000" w:rsidP="00000000" w:rsidRDefault="00000000" w:rsidRPr="00000000" w14:paraId="00000065">
      <w:pPr>
        <w:widowControl w:val="0"/>
        <w:numPr>
          <w:ilvl w:val="0"/>
          <w:numId w:val="7"/>
        </w:numPr>
        <w:spacing w:after="0" w:lineRule="auto"/>
        <w:ind w:left="720" w:right="36" w:hanging="360"/>
        <w:rPr>
          <w:rFonts w:ascii="Arial" w:cs="Arial" w:eastAsia="Arial" w:hAnsi="Arial"/>
          <w:u w:val="none"/>
        </w:rPr>
      </w:pPr>
      <w:r w:rsidDel="00000000" w:rsidR="00000000" w:rsidRPr="00000000">
        <w:rPr>
          <w:rFonts w:ascii="Arial" w:cs="Arial" w:eastAsia="Arial" w:hAnsi="Arial"/>
          <w:rtl w:val="0"/>
        </w:rPr>
        <w:t xml:space="preserve">Following this the patient will undergo diagnostic laparoscopy for the confirmation of the diagnosis.</w:t>
      </w:r>
    </w:p>
    <w:p w:rsidR="00000000" w:rsidDel="00000000" w:rsidP="00000000" w:rsidRDefault="00000000" w:rsidRPr="00000000" w14:paraId="00000066">
      <w:pPr>
        <w:widowControl w:val="0"/>
        <w:numPr>
          <w:ilvl w:val="0"/>
          <w:numId w:val="7"/>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For hypothetical pre-FAPI PET-CT / CECT treatment : clinical parameters such as age, tumor marker level, clinical performance status, histopathology result after endoscopy or surgery will be noted.</w:t>
      </w:r>
    </w:p>
    <w:p w:rsidR="00000000" w:rsidDel="00000000" w:rsidP="00000000" w:rsidRDefault="00000000" w:rsidRPr="00000000" w14:paraId="00000067">
      <w:pPr>
        <w:widowControl w:val="0"/>
        <w:numPr>
          <w:ilvl w:val="0"/>
          <w:numId w:val="7"/>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PET-CT scans will be reviewed by two nuclear medicine physicians with 10 and 15 years of experience, respectively.</w:t>
      </w:r>
    </w:p>
    <w:p w:rsidR="00000000" w:rsidDel="00000000" w:rsidP="00000000" w:rsidRDefault="00000000" w:rsidRPr="00000000" w14:paraId="00000068">
      <w:pPr>
        <w:widowControl w:val="0"/>
        <w:numPr>
          <w:ilvl w:val="0"/>
          <w:numId w:val="7"/>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For hypothetical post-FAPI PET-CT / CECT: impact of addition of the data obtained from 68Ga FAPI PET-CT will be noted.</w:t>
      </w:r>
    </w:p>
    <w:p w:rsidR="00000000" w:rsidDel="00000000" w:rsidP="00000000" w:rsidRDefault="00000000" w:rsidRPr="00000000" w14:paraId="00000069">
      <w:pPr>
        <w:widowControl w:val="0"/>
        <w:numPr>
          <w:ilvl w:val="0"/>
          <w:numId w:val="7"/>
        </w:numPr>
        <w:spacing w:after="0" w:line="276" w:lineRule="auto"/>
        <w:ind w:left="720" w:right="36" w:hanging="360"/>
        <w:rPr>
          <w:rFonts w:ascii="Arial" w:cs="Arial" w:eastAsia="Arial" w:hAnsi="Arial"/>
        </w:rPr>
      </w:pPr>
      <w:r w:rsidDel="00000000" w:rsidR="00000000" w:rsidRPr="00000000">
        <w:rPr>
          <w:rFonts w:ascii="Arial" w:cs="Arial" w:eastAsia="Arial" w:hAnsi="Arial"/>
          <w:rtl w:val="0"/>
        </w:rPr>
        <w:t xml:space="preserve">Impact assessment will be done as follows:</w:t>
      </w:r>
    </w:p>
    <w:p w:rsidR="00000000" w:rsidDel="00000000" w:rsidP="00000000" w:rsidRDefault="00000000" w:rsidRPr="00000000" w14:paraId="0000006A">
      <w:pPr>
        <w:widowControl w:val="0"/>
        <w:numPr>
          <w:ilvl w:val="1"/>
          <w:numId w:val="7"/>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HIGH IMPACT (change in modality of treatment)</w:t>
      </w:r>
    </w:p>
    <w:p w:rsidR="00000000" w:rsidDel="00000000" w:rsidP="00000000" w:rsidRDefault="00000000" w:rsidRPr="00000000" w14:paraId="0000006B">
      <w:pPr>
        <w:widowControl w:val="0"/>
        <w:numPr>
          <w:ilvl w:val="1"/>
          <w:numId w:val="7"/>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MEDIUM IMPACT (addition or exclusion of one modality from the treatment plan or change in chemotherapy regimen)</w:t>
      </w:r>
    </w:p>
    <w:p w:rsidR="00000000" w:rsidDel="00000000" w:rsidP="00000000" w:rsidRDefault="00000000" w:rsidRPr="00000000" w14:paraId="0000006C">
      <w:pPr>
        <w:widowControl w:val="0"/>
        <w:numPr>
          <w:ilvl w:val="1"/>
          <w:numId w:val="7"/>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LOW IMPACT (change in therapy details within the same modality)</w:t>
      </w:r>
    </w:p>
    <w:p w:rsidR="00000000" w:rsidDel="00000000" w:rsidP="00000000" w:rsidRDefault="00000000" w:rsidRPr="00000000" w14:paraId="0000006D">
      <w:pPr>
        <w:widowControl w:val="0"/>
        <w:numPr>
          <w:ilvl w:val="1"/>
          <w:numId w:val="7"/>
        </w:numPr>
        <w:spacing w:after="0" w:line="276" w:lineRule="auto"/>
        <w:ind w:left="1440" w:right="36" w:hanging="360"/>
        <w:rPr>
          <w:rFonts w:ascii="Arial" w:cs="Arial" w:eastAsia="Arial" w:hAnsi="Arial"/>
        </w:rPr>
      </w:pPr>
      <w:r w:rsidDel="00000000" w:rsidR="00000000" w:rsidRPr="00000000">
        <w:rPr>
          <w:rFonts w:ascii="Arial" w:cs="Arial" w:eastAsia="Arial" w:hAnsi="Arial"/>
          <w:rtl w:val="0"/>
        </w:rPr>
        <w:t xml:space="preserve">NO IMPACT</w:t>
      </w:r>
    </w:p>
    <w:p w:rsidR="00000000" w:rsidDel="00000000" w:rsidP="00000000" w:rsidRDefault="00000000" w:rsidRPr="00000000" w14:paraId="0000006E">
      <w:pPr>
        <w:spacing w:after="240" w:before="240" w:line="276" w:lineRule="auto"/>
        <w:rPr>
          <w:rFonts w:ascii="Arial" w:cs="Arial" w:eastAsia="Arial" w:hAnsi="Arial"/>
        </w:rPr>
      </w:pPr>
      <w:r w:rsidDel="00000000" w:rsidR="00000000" w:rsidRPr="00000000">
        <w:rPr>
          <w:rFonts w:ascii="Arial" w:cs="Arial" w:eastAsia="Arial" w:hAnsi="Arial"/>
          <w:b w:val="1"/>
          <w:bCs w:val="1"/>
          <w:rtl w:val="0"/>
        </w:rPr>
        <w:t xml:space="preserve">Imaging Protocol</w:t>
      </w:r>
      <w:r w:rsidDel="00000000" w:rsidR="00000000" w:rsidRPr="00000000">
        <w:rPr>
          <w:rtl w:val="0"/>
        </w:rPr>
      </w:r>
    </w:p>
    <w:p w:rsidR="00000000" w:rsidDel="00000000" w:rsidP="00000000" w:rsidRDefault="00000000" w:rsidRPr="00000000" w14:paraId="0000006F">
      <w:pPr>
        <w:pStyle w:val="Heading3"/>
        <w:keepNext w:val="0"/>
        <w:keepLines w:val="0"/>
        <w:spacing w:line="276" w:lineRule="auto"/>
        <w:rPr>
          <w:rFonts w:ascii="Arial" w:cs="Arial" w:eastAsia="Arial" w:hAnsi="Arial"/>
          <w:b w:val="0"/>
          <w:bCs w:val="0"/>
          <w:sz w:val="22"/>
          <w:szCs w:val="22"/>
        </w:rPr>
      </w:pPr>
      <w:bookmarkStart w:colFirst="0" w:colLast="0" w:name="_8vq1o41btpio" w:id="7"/>
      <w:bookmarkEnd w:id="7"/>
      <w:r w:rsidDel="00000000" w:rsidR="00000000" w:rsidRPr="00000000">
        <w:rPr>
          <w:rFonts w:ascii="Arial" w:cs="Arial" w:eastAsia="Arial" w:hAnsi="Arial"/>
          <w:b w:val="0"/>
          <w:bCs w:val="0"/>
          <w:sz w:val="22"/>
          <w:szCs w:val="22"/>
          <w:rtl w:val="0"/>
        </w:rPr>
        <w:t xml:space="preserve">Radionuclide &amp; Dose:</w:t>
      </w:r>
    </w:p>
    <w:p w:rsidR="00000000" w:rsidDel="00000000" w:rsidP="00000000" w:rsidRDefault="00000000" w:rsidRPr="00000000" w14:paraId="00000070">
      <w:pPr>
        <w:numPr>
          <w:ilvl w:val="0"/>
          <w:numId w:val="4"/>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Radiotracer: Gallium 68 (68Ga)–labeled fibroblast activation protein (FAP) inhibitor (FAPI)-46 (68Ga-FAPI-46)</w:t>
      </w:r>
    </w:p>
    <w:p w:rsidR="00000000" w:rsidDel="00000000" w:rsidP="00000000" w:rsidRDefault="00000000" w:rsidRPr="00000000" w14:paraId="00000071">
      <w:pPr>
        <w:numPr>
          <w:ilvl w:val="0"/>
          <w:numId w:val="4"/>
        </w:numPr>
        <w:spacing w:after="0" w:before="0" w:line="276" w:lineRule="auto"/>
        <w:ind w:left="720" w:hanging="360"/>
        <w:rPr>
          <w:rFonts w:ascii="Arial" w:cs="Arial" w:eastAsia="Arial" w:hAnsi="Arial"/>
        </w:rPr>
      </w:pPr>
      <w:r w:rsidDel="00000000" w:rsidR="00000000" w:rsidRPr="00000000">
        <w:rPr>
          <w:rFonts w:ascii="Arial" w:cs="Arial" w:eastAsia="Arial" w:hAnsi="Arial"/>
          <w:rtl w:val="0"/>
        </w:rPr>
        <w:t xml:space="preserve">Administered Activity: 1.5 - 2 mCi (millicurie) at the time of injection</w:t>
      </w:r>
    </w:p>
    <w:p w:rsidR="00000000" w:rsidDel="00000000" w:rsidP="00000000" w:rsidRDefault="00000000" w:rsidRPr="00000000" w14:paraId="00000072">
      <w:pPr>
        <w:numPr>
          <w:ilvl w:val="0"/>
          <w:numId w:val="4"/>
        </w:numPr>
        <w:spacing w:after="240" w:before="0" w:line="276" w:lineRule="auto"/>
        <w:ind w:left="720" w:hanging="360"/>
        <w:rPr>
          <w:rFonts w:ascii="Arial" w:cs="Arial" w:eastAsia="Arial" w:hAnsi="Arial"/>
        </w:rPr>
      </w:pPr>
      <w:r w:rsidDel="00000000" w:rsidR="00000000" w:rsidRPr="00000000">
        <w:rPr>
          <w:rFonts w:ascii="Arial" w:cs="Arial" w:eastAsia="Arial" w:hAnsi="Arial"/>
          <w:rtl w:val="0"/>
        </w:rPr>
        <w:t xml:space="preserve">Route of Administration: Intravenous (IV) injection</w:t>
      </w:r>
    </w:p>
    <w:p w:rsidR="00000000" w:rsidDel="00000000" w:rsidP="00000000" w:rsidRDefault="00000000" w:rsidRPr="00000000" w14:paraId="00000073">
      <w:pPr>
        <w:pStyle w:val="Heading3"/>
        <w:keepNext w:val="0"/>
        <w:keepLines w:val="0"/>
        <w:spacing w:line="276" w:lineRule="auto"/>
        <w:rPr>
          <w:rFonts w:ascii="Arial" w:cs="Arial" w:eastAsia="Arial" w:hAnsi="Arial"/>
          <w:b w:val="0"/>
          <w:bCs w:val="0"/>
          <w:sz w:val="22"/>
          <w:szCs w:val="22"/>
        </w:rPr>
      </w:pPr>
      <w:bookmarkStart w:colFirst="0" w:colLast="0" w:name="_9oammb34xcw0" w:id="8"/>
      <w:bookmarkEnd w:id="8"/>
      <w:r w:rsidDel="00000000" w:rsidR="00000000" w:rsidRPr="00000000">
        <w:rPr>
          <w:rFonts w:ascii="Arial" w:cs="Arial" w:eastAsia="Arial" w:hAnsi="Arial"/>
          <w:b w:val="0"/>
          <w:bCs w:val="0"/>
          <w:sz w:val="22"/>
          <w:szCs w:val="22"/>
          <w:rtl w:val="0"/>
        </w:rPr>
        <w:t xml:space="preserve">Patient Preparation</w:t>
      </w:r>
    </w:p>
    <w:p w:rsidR="00000000" w:rsidDel="00000000" w:rsidP="00000000" w:rsidRDefault="00000000" w:rsidRPr="00000000" w14:paraId="00000074">
      <w:pPr>
        <w:numPr>
          <w:ilvl w:val="0"/>
          <w:numId w:val="8"/>
        </w:numPr>
        <w:spacing w:after="0" w:afterAutospacing="0" w:before="280" w:line="276" w:lineRule="auto"/>
        <w:ind w:left="720" w:hanging="360"/>
        <w:rPr>
          <w:rFonts w:ascii="Arial" w:cs="Arial" w:eastAsia="Arial" w:hAnsi="Arial"/>
        </w:rPr>
      </w:pPr>
      <w:r w:rsidDel="00000000" w:rsidR="00000000" w:rsidRPr="00000000">
        <w:rPr>
          <w:rFonts w:ascii="Arial" w:cs="Arial" w:eastAsia="Arial" w:hAnsi="Arial"/>
          <w:rtl w:val="0"/>
        </w:rPr>
        <w:t xml:space="preserve">Fasting Requirements</w:t>
      </w:r>
    </w:p>
    <w:p w:rsidR="00000000" w:rsidDel="00000000" w:rsidP="00000000" w:rsidRDefault="00000000" w:rsidRPr="00000000" w14:paraId="00000075">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No fasting is required.</w:t>
      </w:r>
    </w:p>
    <w:p w:rsidR="00000000" w:rsidDel="00000000" w:rsidP="00000000" w:rsidRDefault="00000000" w:rsidRPr="00000000" w14:paraId="00000076">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Patients may eat and drink normally before the scan unless otherwise instructed for other reasons.</w:t>
      </w:r>
    </w:p>
    <w:p w:rsidR="00000000" w:rsidDel="00000000" w:rsidP="00000000" w:rsidRDefault="00000000" w:rsidRPr="00000000" w14:paraId="00000077">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Adequate hydration is encouraged.</w:t>
      </w:r>
    </w:p>
    <w:p w:rsidR="00000000" w:rsidDel="00000000" w:rsidP="00000000" w:rsidRDefault="00000000" w:rsidRPr="00000000" w14:paraId="00000078">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Hydration &amp; Bladder Preparation</w:t>
      </w:r>
    </w:p>
    <w:p w:rsidR="00000000" w:rsidDel="00000000" w:rsidP="00000000" w:rsidRDefault="00000000" w:rsidRPr="00000000" w14:paraId="00000079">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Adequate hydration before and after tracer administration.</w:t>
      </w:r>
    </w:p>
    <w:p w:rsidR="00000000" w:rsidDel="00000000" w:rsidP="00000000" w:rsidRDefault="00000000" w:rsidRPr="00000000" w14:paraId="0000007A">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Frequent voiding before imaging to reduce urinary tracer activity and improve image quality, particularly in the pelvis.</w:t>
      </w:r>
    </w:p>
    <w:p w:rsidR="00000000" w:rsidDel="00000000" w:rsidP="00000000" w:rsidRDefault="00000000" w:rsidRPr="00000000" w14:paraId="0000007B">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Medication Use</w:t>
      </w:r>
    </w:p>
    <w:p w:rsidR="00000000" w:rsidDel="00000000" w:rsidP="00000000" w:rsidRDefault="00000000" w:rsidRPr="00000000" w14:paraId="0000007C">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Routine medications may be continued unless otherwise advised by the referring physician.</w:t>
      </w:r>
    </w:p>
    <w:p w:rsidR="00000000" w:rsidDel="00000000" w:rsidP="00000000" w:rsidRDefault="00000000" w:rsidRPr="00000000" w14:paraId="0000007D">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No special preparation is required for diabetic medications.</w:t>
      </w:r>
    </w:p>
    <w:p w:rsidR="00000000" w:rsidDel="00000000" w:rsidP="00000000" w:rsidRDefault="00000000" w:rsidRPr="00000000" w14:paraId="0000007E">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Kidney Function</w:t>
      </w:r>
    </w:p>
    <w:p w:rsidR="00000000" w:rsidDel="00000000" w:rsidP="00000000" w:rsidRDefault="00000000" w:rsidRPr="00000000" w14:paraId="0000007F">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Renal function assessment is not required for non-contrast FAPI PET/CT.</w:t>
      </w:r>
    </w:p>
    <w:p w:rsidR="00000000" w:rsidDel="00000000" w:rsidP="00000000" w:rsidRDefault="00000000" w:rsidRPr="00000000" w14:paraId="00000080">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Pregnancy and Lactation</w:t>
      </w:r>
    </w:p>
    <w:p w:rsidR="00000000" w:rsidDel="00000000" w:rsidP="00000000" w:rsidRDefault="00000000" w:rsidRPr="00000000" w14:paraId="00000081">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A detailed history is obtained to exclude pregnancy in women of reproductive age.</w:t>
      </w:r>
    </w:p>
    <w:p w:rsidR="00000000" w:rsidDel="00000000" w:rsidP="00000000" w:rsidRDefault="00000000" w:rsidRPr="00000000" w14:paraId="00000082">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Pregnancy testing may be performed when clinically indicated.</w:t>
      </w:r>
    </w:p>
    <w:p w:rsidR="00000000" w:rsidDel="00000000" w:rsidP="00000000" w:rsidRDefault="00000000" w:rsidRPr="00000000" w14:paraId="00000083">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Lactating patients should inform the nuclear medicine team before the examination so appropriate radiation safety advice can be provided.</w:t>
      </w:r>
    </w:p>
    <w:p w:rsidR="00000000" w:rsidDel="00000000" w:rsidP="00000000" w:rsidRDefault="00000000" w:rsidRPr="00000000" w14:paraId="00000084">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Imaging Procedure</w:t>
      </w:r>
    </w:p>
    <w:p w:rsidR="00000000" w:rsidDel="00000000" w:rsidP="00000000" w:rsidRDefault="00000000" w:rsidRPr="00000000" w14:paraId="00000085">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After intravenous administration of ⁶⁸Ga-FAPI, will be performed approximately 45–60 minutes post-injection.</w:t>
      </w:r>
    </w:p>
    <w:p w:rsidR="00000000" w:rsidDel="00000000" w:rsidP="00000000" w:rsidRDefault="00000000" w:rsidRPr="00000000" w14:paraId="00000086">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Patients should remain comfortably seated or resting during the uptake period.</w:t>
      </w:r>
    </w:p>
    <w:p w:rsidR="00000000" w:rsidDel="00000000" w:rsidP="00000000" w:rsidRDefault="00000000" w:rsidRPr="00000000" w14:paraId="00000087">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Metal Objects</w:t>
      </w:r>
    </w:p>
    <w:p w:rsidR="00000000" w:rsidDel="00000000" w:rsidP="00000000" w:rsidRDefault="00000000" w:rsidRPr="00000000" w14:paraId="00000088">
      <w:pPr>
        <w:numPr>
          <w:ilvl w:val="1"/>
          <w:numId w:val="8"/>
        </w:numPr>
        <w:spacing w:after="0" w:afterAutospacing="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Patients should remove metallic objects such as jewelry, belts, and removable dental appliances before the scan to minimize CT artifacts.</w:t>
      </w:r>
    </w:p>
    <w:p w:rsidR="00000000" w:rsidDel="00000000" w:rsidP="00000000" w:rsidRDefault="00000000" w:rsidRPr="00000000" w14:paraId="00000089">
      <w:pPr>
        <w:numPr>
          <w:ilvl w:val="0"/>
          <w:numId w:val="8"/>
        </w:numPr>
        <w:spacing w:after="0" w:afterAutospacing="0" w:before="0" w:beforeAutospacing="0" w:line="276" w:lineRule="auto"/>
        <w:ind w:left="720" w:hanging="360"/>
        <w:rPr>
          <w:rFonts w:ascii="Arial" w:cs="Arial" w:eastAsia="Arial" w:hAnsi="Arial"/>
        </w:rPr>
      </w:pPr>
      <w:r w:rsidDel="00000000" w:rsidR="00000000" w:rsidRPr="00000000">
        <w:rPr>
          <w:rFonts w:ascii="Arial" w:cs="Arial" w:eastAsia="Arial" w:hAnsi="Arial"/>
          <w:rtl w:val="0"/>
        </w:rPr>
        <w:t xml:space="preserve">Duration of Examination</w:t>
      </w:r>
    </w:p>
    <w:p w:rsidR="00000000" w:rsidDel="00000000" w:rsidP="00000000" w:rsidRDefault="00000000" w:rsidRPr="00000000" w14:paraId="0000008A">
      <w:pPr>
        <w:numPr>
          <w:ilvl w:val="1"/>
          <w:numId w:val="8"/>
        </w:numPr>
        <w:spacing w:after="240" w:before="0" w:beforeAutospacing="0" w:line="276" w:lineRule="auto"/>
        <w:ind w:left="1440" w:hanging="360"/>
        <w:rPr>
          <w:rFonts w:ascii="Arial" w:cs="Arial" w:eastAsia="Arial" w:hAnsi="Arial"/>
        </w:rPr>
      </w:pPr>
      <w:r w:rsidDel="00000000" w:rsidR="00000000" w:rsidRPr="00000000">
        <w:rPr>
          <w:rFonts w:ascii="Arial" w:cs="Arial" w:eastAsia="Arial" w:hAnsi="Arial"/>
          <w:rtl w:val="0"/>
        </w:rPr>
        <w:t xml:space="preserve">The entire visit usually lasts approximately 1.5–2 hours, including tracer administration, uptake time, and image acquisition.</w:t>
      </w:r>
    </w:p>
    <w:p w:rsidR="00000000" w:rsidDel="00000000" w:rsidP="00000000" w:rsidRDefault="00000000" w:rsidRPr="00000000" w14:paraId="0000008B">
      <w:pPr>
        <w:pStyle w:val="Heading3"/>
        <w:keepNext w:val="0"/>
        <w:keepLines w:val="0"/>
        <w:spacing w:line="276" w:lineRule="auto"/>
        <w:rPr>
          <w:rFonts w:ascii="Arial" w:cs="Arial" w:eastAsia="Arial" w:hAnsi="Arial"/>
          <w:sz w:val="22"/>
          <w:szCs w:val="22"/>
        </w:rPr>
      </w:pPr>
      <w:bookmarkStart w:colFirst="0" w:colLast="0" w:name="_v3zaqqjbs7nx" w:id="9"/>
      <w:bookmarkEnd w:id="9"/>
      <w:r w:rsidDel="00000000" w:rsidR="00000000" w:rsidRPr="00000000">
        <w:rPr>
          <w:rFonts w:ascii="Arial" w:cs="Arial" w:eastAsia="Arial" w:hAnsi="Arial"/>
          <w:sz w:val="22"/>
          <w:szCs w:val="22"/>
          <w:rtl w:val="0"/>
        </w:rPr>
        <w:t xml:space="preserve">Imaging Procedure</w:t>
      </w:r>
    </w:p>
    <w:p w:rsidR="00000000" w:rsidDel="00000000" w:rsidP="00000000" w:rsidRDefault="00000000" w:rsidRPr="00000000" w14:paraId="0000008C">
      <w:pPr>
        <w:numPr>
          <w:ilvl w:val="0"/>
          <w:numId w:val="6"/>
        </w:numPr>
        <w:spacing w:after="0" w:before="240" w:line="276" w:lineRule="auto"/>
        <w:ind w:left="720" w:hanging="360"/>
        <w:rPr>
          <w:rFonts w:ascii="Arial" w:cs="Arial" w:eastAsia="Arial" w:hAnsi="Arial"/>
        </w:rPr>
      </w:pPr>
      <w:r w:rsidDel="00000000" w:rsidR="00000000" w:rsidRPr="00000000">
        <w:rPr>
          <w:rFonts w:ascii="Arial" w:cs="Arial" w:eastAsia="Arial" w:hAnsi="Arial"/>
          <w:rtl w:val="0"/>
        </w:rPr>
        <w:t xml:space="preserve">Patient Injection &amp; Uptake Phase:</w:t>
      </w:r>
    </w:p>
    <w:p w:rsidR="00000000" w:rsidDel="00000000" w:rsidP="00000000" w:rsidRDefault="00000000" w:rsidRPr="00000000" w14:paraId="0000008D">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Administration: 68Ga-FAPI-46 is injected via an intravenous line.</w:t>
      </w:r>
    </w:p>
    <w:p w:rsidR="00000000" w:rsidDel="00000000" w:rsidP="00000000" w:rsidRDefault="00000000" w:rsidRPr="00000000" w14:paraId="0000008E">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Resting Phase: The patient rests in the patient waiting area for 45–60 minutes post-injection to allow 68Ga-FAPI-46 uptake.</w:t>
      </w:r>
    </w:p>
    <w:p w:rsidR="00000000" w:rsidDel="00000000" w:rsidP="00000000" w:rsidRDefault="00000000" w:rsidRPr="00000000" w14:paraId="0000008F">
      <w:pPr>
        <w:numPr>
          <w:ilvl w:val="0"/>
          <w:numId w:val="6"/>
        </w:numPr>
        <w:spacing w:after="0" w:before="0" w:line="276" w:lineRule="auto"/>
        <w:ind w:left="720" w:hanging="360"/>
        <w:rPr>
          <w:rFonts w:ascii="Arial" w:cs="Arial" w:eastAsia="Arial" w:hAnsi="Arial"/>
        </w:rPr>
      </w:pPr>
      <w:r w:rsidDel="00000000" w:rsidR="00000000" w:rsidRPr="00000000">
        <w:rPr>
          <w:rFonts w:ascii="Arial" w:cs="Arial" w:eastAsia="Arial" w:hAnsi="Arial"/>
          <w:rtl w:val="0"/>
        </w:rPr>
        <w:t xml:space="preserve">PET-CT Acquisition:</w:t>
      </w:r>
    </w:p>
    <w:p w:rsidR="00000000" w:rsidDel="00000000" w:rsidP="00000000" w:rsidRDefault="00000000" w:rsidRPr="00000000" w14:paraId="00000090">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Machine Used: [Siemens Biograph 64 mCT]</w:t>
      </w:r>
    </w:p>
    <w:p w:rsidR="00000000" w:rsidDel="00000000" w:rsidP="00000000" w:rsidRDefault="00000000" w:rsidRPr="00000000" w14:paraId="00000091">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Scan Duration: Typically 20–30 minutes, depending on the imaging field.</w:t>
      </w:r>
    </w:p>
    <w:p w:rsidR="00000000" w:rsidDel="00000000" w:rsidP="00000000" w:rsidRDefault="00000000" w:rsidRPr="00000000" w14:paraId="00000092">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Patient position: Supine</w:t>
      </w:r>
    </w:p>
    <w:p w:rsidR="00000000" w:rsidDel="00000000" w:rsidP="00000000" w:rsidRDefault="00000000" w:rsidRPr="00000000" w14:paraId="00000093">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Field of view: 80 to 90 cm (varies by patient size and camera manufacturer,50–90 cm for PET/CT)</w:t>
      </w:r>
    </w:p>
    <w:p w:rsidR="00000000" w:rsidDel="00000000" w:rsidP="00000000" w:rsidRDefault="00000000" w:rsidRPr="00000000" w14:paraId="00000094">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Imaging Area: Whole-body scan from skull base to mid-thigh (or as clinically indicated).</w:t>
      </w:r>
    </w:p>
    <w:p w:rsidR="00000000" w:rsidDel="00000000" w:rsidP="00000000" w:rsidRDefault="00000000" w:rsidRPr="00000000" w14:paraId="00000095">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CT transmission scan:</w:t>
      </w:r>
    </w:p>
    <w:p w:rsidR="00000000" w:rsidDel="00000000" w:rsidP="00000000" w:rsidRDefault="00000000" w:rsidRPr="00000000" w14:paraId="00000096">
      <w:pPr>
        <w:numPr>
          <w:ilvl w:val="2"/>
          <w:numId w:val="6"/>
        </w:numPr>
        <w:spacing w:after="0" w:before="0" w:line="276" w:lineRule="auto"/>
        <w:ind w:left="2160" w:hanging="360"/>
        <w:rPr>
          <w:rFonts w:ascii="Arial" w:cs="Arial" w:eastAsia="Arial" w:hAnsi="Arial"/>
        </w:rPr>
      </w:pPr>
      <w:r w:rsidDel="00000000" w:rsidR="00000000" w:rsidRPr="00000000">
        <w:rPr>
          <w:rFonts w:ascii="Arial" w:cs="Arial" w:eastAsia="Arial" w:hAnsi="Arial"/>
          <w:rtl w:val="0"/>
        </w:rPr>
        <w:t xml:space="preserve">Scout: Determine bed/slice positioning and automatic CT exposure settings 10 mAs.</w:t>
      </w:r>
    </w:p>
    <w:p w:rsidR="00000000" w:rsidDel="00000000" w:rsidP="00000000" w:rsidRDefault="00000000" w:rsidRPr="00000000" w14:paraId="00000097">
      <w:pPr>
        <w:numPr>
          <w:ilvl w:val="2"/>
          <w:numId w:val="6"/>
        </w:numPr>
        <w:spacing w:after="0" w:before="0" w:line="276" w:lineRule="auto"/>
        <w:ind w:left="2160" w:hanging="360"/>
        <w:rPr>
          <w:rFonts w:ascii="Arial" w:cs="Arial" w:eastAsia="Arial" w:hAnsi="Arial"/>
        </w:rPr>
      </w:pPr>
      <w:r w:rsidDel="00000000" w:rsidR="00000000" w:rsidRPr="00000000">
        <w:rPr>
          <w:rFonts w:ascii="Arial" w:cs="Arial" w:eastAsia="Arial" w:hAnsi="Arial"/>
          <w:rtl w:val="0"/>
        </w:rPr>
        <w:t xml:space="preserve">Diagnostic: 250 to 350mAs; 100 to 140 kVp, CTDI: 10 to 15 mGy</w:t>
      </w:r>
    </w:p>
    <w:p w:rsidR="00000000" w:rsidDel="00000000" w:rsidP="00000000" w:rsidRDefault="00000000" w:rsidRPr="00000000" w14:paraId="00000098">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PET emission scan: TOF scanner 1 to 2 minutes/bed position; non-TOF 3 to 5 minutes/position</w:t>
      </w:r>
    </w:p>
    <w:p w:rsidR="00000000" w:rsidDel="00000000" w:rsidP="00000000" w:rsidRDefault="00000000" w:rsidRPr="00000000" w14:paraId="00000099">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Processing: Iterative reconstruction, 128 × 128 or 256 × 256 matrix, pixel size typically 2 to 4 mm</w:t>
      </w:r>
    </w:p>
    <w:p w:rsidR="00000000" w:rsidDel="00000000" w:rsidP="00000000" w:rsidRDefault="00000000" w:rsidRPr="00000000" w14:paraId="0000009A">
      <w:pPr>
        <w:numPr>
          <w:ilvl w:val="0"/>
          <w:numId w:val="6"/>
        </w:numPr>
        <w:spacing w:after="0" w:before="0" w:line="276" w:lineRule="auto"/>
        <w:ind w:left="720" w:hanging="360"/>
        <w:rPr>
          <w:rFonts w:ascii="Arial" w:cs="Arial" w:eastAsia="Arial" w:hAnsi="Arial"/>
        </w:rPr>
      </w:pPr>
      <w:r w:rsidDel="00000000" w:rsidR="00000000" w:rsidRPr="00000000">
        <w:rPr>
          <w:rFonts w:ascii="Arial" w:cs="Arial" w:eastAsia="Arial" w:hAnsi="Arial"/>
          <w:rtl w:val="0"/>
        </w:rPr>
        <w:t xml:space="preserve">Post-Scan Instructions:</w:t>
      </w:r>
    </w:p>
    <w:p w:rsidR="00000000" w:rsidDel="00000000" w:rsidP="00000000" w:rsidRDefault="00000000" w:rsidRPr="00000000" w14:paraId="0000009B">
      <w:pPr>
        <w:numPr>
          <w:ilvl w:val="1"/>
          <w:numId w:val="6"/>
        </w:numPr>
        <w:spacing w:after="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Fluid intake is encouraged with frequent voiding of bladder to facilitate radiotracer excretion.</w:t>
      </w:r>
    </w:p>
    <w:p w:rsidR="00000000" w:rsidDel="00000000" w:rsidP="00000000" w:rsidRDefault="00000000" w:rsidRPr="00000000" w14:paraId="0000009C">
      <w:pPr>
        <w:numPr>
          <w:ilvl w:val="1"/>
          <w:numId w:val="6"/>
        </w:numPr>
        <w:spacing w:after="240" w:before="0" w:line="276" w:lineRule="auto"/>
        <w:ind w:left="1440" w:hanging="360"/>
        <w:rPr>
          <w:rFonts w:ascii="Arial" w:cs="Arial" w:eastAsia="Arial" w:hAnsi="Arial"/>
        </w:rPr>
      </w:pPr>
      <w:r w:rsidDel="00000000" w:rsidR="00000000" w:rsidRPr="00000000">
        <w:rPr>
          <w:rFonts w:ascii="Arial" w:cs="Arial" w:eastAsia="Arial" w:hAnsi="Arial"/>
          <w:rtl w:val="0"/>
        </w:rPr>
        <w:t xml:space="preserve">To avoid close contact with infants and pregnant women for 4–6 hours after the scan.</w:t>
      </w:r>
    </w:p>
    <w:p w:rsidR="00000000" w:rsidDel="00000000" w:rsidP="00000000" w:rsidRDefault="00000000" w:rsidRPr="00000000" w14:paraId="0000009D">
      <w:pPr>
        <w:spacing w:after="240" w:before="24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Statistical Analysis</w:t>
      </w:r>
    </w:p>
    <w:p w:rsidR="00000000" w:rsidDel="00000000" w:rsidP="00000000" w:rsidRDefault="00000000" w:rsidRPr="00000000" w14:paraId="0000009E">
      <w:pPr>
        <w:spacing w:after="240" w:before="240" w:lineRule="auto"/>
        <w:rPr>
          <w:rFonts w:ascii="Arial" w:cs="Arial" w:eastAsia="Arial" w:hAnsi="Arial"/>
        </w:rPr>
      </w:pPr>
      <w:r w:rsidDel="00000000" w:rsidR="00000000" w:rsidRPr="00000000">
        <w:rPr>
          <w:rFonts w:ascii="Arial" w:cs="Arial" w:eastAsia="Arial" w:hAnsi="Arial"/>
          <w:rtl w:val="0"/>
        </w:rPr>
        <w:t xml:space="preserve">Statistical analysis will be carried out using SPSS or equivalent statistical software (whichever version will be feasible during the analysis period). Patient demographics and clinical characteristics will be summarized using descriptive statistics. Continuous variables will be expressed as mean ± standard deviation or median with range/interquartile range, depending on the distribution of data, while categorical variables will be presented as frequencies and percentages. The diagnostic performance of FAPI PET-CT and CECT in detecting peritoneal metastases will be evaluated using findings from diagnostic laparoscopy and histopathology as the reference standard. Sensitivity, specificity, positive predictive value (PPV), negative predictive value (NPV), and overall diagnostic accuracy will be calculated. Receiver operating characteristic (ROC) curve analysis will also be performed, and the area under the curve (AUC) will be used to compare the diagnostic performance of the two imaging modalities. McNemar’s test will be applied for comparison of paired diagnostic results. PCI scores obtained from FAPI PET-CT, CECT, and diagnostic laparoscopy will be compared to assess the ability of each modality to estimate peritoneal disease burden. Depending on data distribution, appropriate non-parametric tests, including the Wilcoxon signed-rank test and Friedman test, will be used for comparison of paired and repeated measurements. The impact of FAPI PET-CT on treatment planning will be assessed by determining the number and proportion of patients in whom imaging findings lead to a change in management strategy. Comparisons of categorical variables will be performed using the Chi-square test or Fisher’s exact test, wherever appropriate. A p-value of less than 0.05 will be considered statistically significant.</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References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18">
        <w:r w:rsidDel="00000000" w:rsidR="00000000" w:rsidRPr="00000000">
          <w:rPr>
            <w:rFonts w:ascii="Arial" w:cs="Arial" w:eastAsia="Arial" w:hAnsi="Arial"/>
            <w:b w:val="1"/>
            <w:bCs w:val="1"/>
            <w:rtl w:val="0"/>
          </w:rPr>
          <w:t xml:space="preserve">1</w:t>
        </w:r>
      </w:hyperlink>
      <w:hyperlink r:id="rId19">
        <w:r w:rsidDel="00000000" w:rsidR="00000000" w:rsidRPr="00000000">
          <w:rPr>
            <w:rFonts w:ascii="Arial" w:cs="Arial" w:eastAsia="Arial" w:hAnsi="Arial"/>
            <w:b w:val="1"/>
            <w:bCs w:val="1"/>
            <w:rtl w:val="0"/>
          </w:rPr>
          <w:t xml:space="preserve">.</w:t>
        </w:r>
      </w:hyperlink>
      <w:r w:rsidDel="00000000" w:rsidR="00000000" w:rsidRPr="00000000">
        <w:rPr>
          <w:rFonts w:ascii="Arial" w:cs="Arial" w:eastAsia="Arial" w:hAnsi="Arial"/>
          <w:b w:val="1"/>
          <w:bCs w:val="1"/>
          <w:rtl w:val="0"/>
        </w:rPr>
        <w:tab/>
      </w:r>
      <w:hyperlink r:id="rId20">
        <w:r w:rsidDel="00000000" w:rsidR="00000000" w:rsidRPr="00000000">
          <w:rPr>
            <w:rFonts w:ascii="Arial" w:cs="Arial" w:eastAsia="Arial" w:hAnsi="Arial"/>
            <w:b w:val="1"/>
            <w:bCs w:val="1"/>
            <w:rtl w:val="0"/>
          </w:rPr>
          <w:t xml:space="preserve">Segelman J, Granath F, Holm T, Machado M, Et. A. Incidence, prevalence and risk factors for peritoneal carcinomatosis from colorectal cancer. Br J Surg. 2012. doi:10.1002/bjs.8679 </w:t>
        </w:r>
      </w:hyperlink>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1">
        <w:r w:rsidDel="00000000" w:rsidR="00000000" w:rsidRPr="00000000">
          <w:rPr>
            <w:rFonts w:ascii="Arial" w:cs="Arial" w:eastAsia="Arial" w:hAnsi="Arial"/>
            <w:b w:val="1"/>
            <w:bCs w:val="1"/>
            <w:rtl w:val="0"/>
          </w:rPr>
          <w:t xml:space="preserve">2.</w:t>
        </w:r>
      </w:hyperlink>
      <w:r w:rsidDel="00000000" w:rsidR="00000000" w:rsidRPr="00000000">
        <w:rPr>
          <w:rFonts w:ascii="Arial" w:cs="Arial" w:eastAsia="Arial" w:hAnsi="Arial"/>
          <w:b w:val="1"/>
          <w:bCs w:val="1"/>
          <w:rtl w:val="0"/>
        </w:rPr>
        <w:tab/>
      </w:r>
      <w:hyperlink r:id="rId22">
        <w:r w:rsidDel="00000000" w:rsidR="00000000" w:rsidRPr="00000000">
          <w:rPr>
            <w:rFonts w:ascii="Arial" w:cs="Arial" w:eastAsia="Arial" w:hAnsi="Arial"/>
            <w:b w:val="1"/>
            <w:bCs w:val="1"/>
            <w:rtl w:val="0"/>
          </w:rPr>
          <w:t xml:space="preserve">Hamson EJ, Keane FM, Tholen S, Schilling O, Et. A. Understanding fibroblast activation protein (FAP): Substrates, activities, expression and targeting for cancer therapy. PROTEOMICS – Clin Appl. 2014. doi:10.1002/prca.201300095 </w:t>
        </w:r>
      </w:hyperlink>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3">
        <w:r w:rsidDel="00000000" w:rsidR="00000000" w:rsidRPr="00000000">
          <w:rPr>
            <w:rFonts w:ascii="Arial" w:cs="Arial" w:eastAsia="Arial" w:hAnsi="Arial"/>
            <w:b w:val="1"/>
            <w:bCs w:val="1"/>
            <w:rtl w:val="0"/>
          </w:rPr>
          <w:t xml:space="preserve">3.</w:t>
        </w:r>
      </w:hyperlink>
      <w:r w:rsidDel="00000000" w:rsidR="00000000" w:rsidRPr="00000000">
        <w:rPr>
          <w:rFonts w:ascii="Arial" w:cs="Arial" w:eastAsia="Arial" w:hAnsi="Arial"/>
          <w:b w:val="1"/>
          <w:bCs w:val="1"/>
          <w:rtl w:val="0"/>
        </w:rPr>
        <w:tab/>
      </w:r>
      <w:hyperlink r:id="rId24">
        <w:r w:rsidDel="00000000" w:rsidR="00000000" w:rsidRPr="00000000">
          <w:rPr>
            <w:rFonts w:ascii="Arial" w:cs="Arial" w:eastAsia="Arial" w:hAnsi="Arial"/>
            <w:b w:val="1"/>
            <w:bCs w:val="1"/>
            <w:rtl w:val="0"/>
          </w:rPr>
          <w:t xml:space="preserve">Loktev A, Lindner T, Mier W, Debus J, Altmann A, Jäger D, et al. A Tumor-Imaging Method Targeting Cancer-Associated Fibroblasts. J Nucl Med. 2018 Sep;59(9):1423–9. doi:10.2967/jnumed.118.210435 PubMed PMID: 29626120; PubMed Central PMCID: PMC6126438. </w:t>
        </w:r>
      </w:hyperlink>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5">
        <w:r w:rsidDel="00000000" w:rsidR="00000000" w:rsidRPr="00000000">
          <w:rPr>
            <w:rFonts w:ascii="Arial" w:cs="Arial" w:eastAsia="Arial" w:hAnsi="Arial"/>
            <w:b w:val="1"/>
            <w:bCs w:val="1"/>
            <w:rtl w:val="0"/>
          </w:rPr>
          <w:t xml:space="preserve">4.</w:t>
        </w:r>
      </w:hyperlink>
      <w:r w:rsidDel="00000000" w:rsidR="00000000" w:rsidRPr="00000000">
        <w:rPr>
          <w:rFonts w:ascii="Arial" w:cs="Arial" w:eastAsia="Arial" w:hAnsi="Arial"/>
          <w:b w:val="1"/>
          <w:bCs w:val="1"/>
          <w:rtl w:val="0"/>
        </w:rPr>
        <w:tab/>
      </w:r>
      <w:hyperlink r:id="rId26">
        <w:r w:rsidDel="00000000" w:rsidR="00000000" w:rsidRPr="00000000">
          <w:rPr>
            <w:rFonts w:ascii="Arial" w:cs="Arial" w:eastAsia="Arial" w:hAnsi="Arial"/>
            <w:b w:val="1"/>
            <w:bCs w:val="1"/>
            <w:rtl w:val="0"/>
          </w:rPr>
          <w:t xml:space="preserve">Chicago Consensus Working Group. The Chicago Consensus on Peritoneal Surface Malignancies: Management of Colorectal Metastases. Ann Surg Oncol. 2020 Jun;27(6):1761–7. doi:10.1245/s10434-020-08315-x </w:t>
        </w:r>
      </w:hyperlink>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7">
        <w:r w:rsidDel="00000000" w:rsidR="00000000" w:rsidRPr="00000000">
          <w:rPr>
            <w:rFonts w:ascii="Arial" w:cs="Arial" w:eastAsia="Arial" w:hAnsi="Arial"/>
            <w:b w:val="1"/>
            <w:bCs w:val="1"/>
            <w:rtl w:val="0"/>
          </w:rPr>
          <w:t xml:space="preserve">5.</w:t>
        </w:r>
      </w:hyperlink>
      <w:r w:rsidDel="00000000" w:rsidR="00000000" w:rsidRPr="00000000">
        <w:rPr>
          <w:rFonts w:ascii="Arial" w:cs="Arial" w:eastAsia="Arial" w:hAnsi="Arial"/>
          <w:b w:val="1"/>
          <w:bCs w:val="1"/>
          <w:rtl w:val="0"/>
        </w:rPr>
        <w:tab/>
      </w:r>
      <w:hyperlink r:id="rId28">
        <w:r w:rsidDel="00000000" w:rsidR="00000000" w:rsidRPr="00000000">
          <w:rPr>
            <w:rFonts w:ascii="Arial" w:cs="Arial" w:eastAsia="Arial" w:hAnsi="Arial"/>
            <w:b w:val="1"/>
            <w:bCs w:val="1"/>
            <w:rtl w:val="0"/>
          </w:rPr>
          <w:t xml:space="preserve">Burke E. Gastric Cancer Peritoneal Staging: Progress and Persistent Challenges. J Gastrointest Cancer. 2026;57(1):32. doi:10.1007/s12029-026-01404-2 PubMed PMID: 41634500; PubMed Central PMCID: PMC12868011. </w:t>
        </w:r>
      </w:hyperlink>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29">
        <w:r w:rsidDel="00000000" w:rsidR="00000000" w:rsidRPr="00000000">
          <w:rPr>
            <w:rFonts w:ascii="Arial" w:cs="Arial" w:eastAsia="Arial" w:hAnsi="Arial"/>
            <w:b w:val="1"/>
            <w:bCs w:val="1"/>
            <w:rtl w:val="0"/>
          </w:rPr>
          <w:t xml:space="preserve">6.</w:t>
        </w:r>
      </w:hyperlink>
      <w:r w:rsidDel="00000000" w:rsidR="00000000" w:rsidRPr="00000000">
        <w:rPr>
          <w:rFonts w:ascii="Arial" w:cs="Arial" w:eastAsia="Arial" w:hAnsi="Arial"/>
          <w:b w:val="1"/>
          <w:bCs w:val="1"/>
          <w:rtl w:val="0"/>
        </w:rPr>
        <w:tab/>
      </w:r>
      <w:hyperlink r:id="rId30">
        <w:r w:rsidDel="00000000" w:rsidR="00000000" w:rsidRPr="00000000">
          <w:rPr>
            <w:rFonts w:ascii="Arial" w:cs="Arial" w:eastAsia="Arial" w:hAnsi="Arial"/>
            <w:b w:val="1"/>
            <w:bCs w:val="1"/>
            <w:rtl w:val="0"/>
          </w:rPr>
          <w:t xml:space="preserve">Ho SYA, Tay KV. Systematic review of diagnostic tools for peritoneal metastasis in gastric cancer-staging laparoscopy and its alternatives. World J Gastrointest Surg. 2023 Oct 27;15(10):2280–93. doi:10.4240/wjgs.v15.i10.2280 PubMed PMID: 37969710; PubMed Central PMCID: PMC10642463. </w:t>
        </w:r>
      </w:hyperlink>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1">
        <w:r w:rsidDel="00000000" w:rsidR="00000000" w:rsidRPr="00000000">
          <w:rPr>
            <w:rFonts w:ascii="Arial" w:cs="Arial" w:eastAsia="Arial" w:hAnsi="Arial"/>
            <w:b w:val="1"/>
            <w:bCs w:val="1"/>
            <w:rtl w:val="0"/>
          </w:rPr>
          <w:t xml:space="preserve">7.</w:t>
        </w:r>
      </w:hyperlink>
      <w:r w:rsidDel="00000000" w:rsidR="00000000" w:rsidRPr="00000000">
        <w:rPr>
          <w:rFonts w:ascii="Arial" w:cs="Arial" w:eastAsia="Arial" w:hAnsi="Arial"/>
          <w:b w:val="1"/>
          <w:bCs w:val="1"/>
          <w:rtl w:val="0"/>
        </w:rPr>
        <w:tab/>
      </w:r>
      <w:hyperlink r:id="rId32">
        <w:r w:rsidDel="00000000" w:rsidR="00000000" w:rsidRPr="00000000">
          <w:rPr>
            <w:rFonts w:ascii="Arial" w:cs="Arial" w:eastAsia="Arial" w:hAnsi="Arial"/>
            <w:b w:val="1"/>
            <w:bCs w:val="1"/>
            <w:rtl w:val="0"/>
          </w:rPr>
          <w:t xml:space="preserve">Zhao L, Pang Y, Luo Z, Fu K, Yang T, Zhao L, et al. Role of [68Ga]Ga-DOTA-FAPI-04 PET/CT in the evaluation of peritoneal carcinomatosis and comparison with [18F]-FDG PET/CT. Eur J Nucl Med Mol Imaging. 2021 Jun;48(6):1944–55. doi:10.1007/s00259-020-05146-6 </w:t>
        </w:r>
      </w:hyperlink>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3">
        <w:r w:rsidDel="00000000" w:rsidR="00000000" w:rsidRPr="00000000">
          <w:rPr>
            <w:rFonts w:ascii="Arial" w:cs="Arial" w:eastAsia="Arial" w:hAnsi="Arial"/>
            <w:b w:val="1"/>
            <w:bCs w:val="1"/>
            <w:rtl w:val="0"/>
          </w:rPr>
          <w:t xml:space="preserve">8.</w:t>
        </w:r>
      </w:hyperlink>
      <w:r w:rsidDel="00000000" w:rsidR="00000000" w:rsidRPr="00000000">
        <w:rPr>
          <w:rFonts w:ascii="Arial" w:cs="Arial" w:eastAsia="Arial" w:hAnsi="Arial"/>
          <w:b w:val="1"/>
          <w:bCs w:val="1"/>
          <w:rtl w:val="0"/>
        </w:rPr>
        <w:tab/>
      </w:r>
      <w:hyperlink r:id="rId34">
        <w:r w:rsidDel="00000000" w:rsidR="00000000" w:rsidRPr="00000000">
          <w:rPr>
            <w:rFonts w:ascii="Arial" w:cs="Arial" w:eastAsia="Arial" w:hAnsi="Arial"/>
            <w:b w:val="1"/>
            <w:bCs w:val="1"/>
            <w:rtl w:val="0"/>
          </w:rPr>
          <w:t xml:space="preserve">Guo W, Chen H. </w:t>
        </w:r>
      </w:hyperlink>
      <w:hyperlink r:id="rId35">
        <w:r w:rsidDel="00000000" w:rsidR="00000000" w:rsidRPr="00000000">
          <w:rPr>
            <w:rFonts w:ascii="Arial" w:cs="Arial" w:eastAsia="Arial" w:hAnsi="Arial"/>
            <w:b w:val="1"/>
            <w:bCs w:val="1"/>
            <w:vertAlign w:val="superscript"/>
            <w:rtl w:val="0"/>
          </w:rPr>
          <w:t xml:space="preserve">68</w:t>
        </w:r>
      </w:hyperlink>
      <w:hyperlink r:id="rId36">
        <w:r w:rsidDel="00000000" w:rsidR="00000000" w:rsidRPr="00000000">
          <w:rPr>
            <w:rFonts w:ascii="Arial" w:cs="Arial" w:eastAsia="Arial" w:hAnsi="Arial"/>
            <w:b w:val="1"/>
            <w:bCs w:val="1"/>
            <w:rtl w:val="0"/>
          </w:rPr>
          <w:t xml:space="preserve">Ga FAPI PET/CT Imaging in Peritoneal Carcinomatosis. Radiology. 2020. doi:10.1148/radiol.2020202469 </w:t>
        </w:r>
      </w:hyperlink>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7">
        <w:r w:rsidDel="00000000" w:rsidR="00000000" w:rsidRPr="00000000">
          <w:rPr>
            <w:rFonts w:ascii="Arial" w:cs="Arial" w:eastAsia="Arial" w:hAnsi="Arial"/>
            <w:b w:val="1"/>
            <w:bCs w:val="1"/>
            <w:rtl w:val="0"/>
          </w:rPr>
          <w:t xml:space="preserve">9.</w:t>
        </w:r>
      </w:hyperlink>
      <w:r w:rsidDel="00000000" w:rsidR="00000000" w:rsidRPr="00000000">
        <w:rPr>
          <w:rFonts w:ascii="Arial" w:cs="Arial" w:eastAsia="Arial" w:hAnsi="Arial"/>
          <w:b w:val="1"/>
          <w:bCs w:val="1"/>
          <w:rtl w:val="0"/>
        </w:rPr>
        <w:tab/>
      </w:r>
      <w:hyperlink r:id="rId38">
        <w:r w:rsidDel="00000000" w:rsidR="00000000" w:rsidRPr="00000000">
          <w:rPr>
            <w:rFonts w:ascii="Arial" w:cs="Arial" w:eastAsia="Arial" w:hAnsi="Arial"/>
            <w:b w:val="1"/>
            <w:bCs w:val="1"/>
            <w:rtl w:val="0"/>
          </w:rPr>
          <w:t xml:space="preserve">Kalluri R. The biology and function of fibroblasts in cancer. Nat Rev Cancer. 2016 Sep;16(9):582–98. doi:10.1038/nrc.2016.73 </w:t>
        </w:r>
      </w:hyperlink>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39">
        <w:r w:rsidDel="00000000" w:rsidR="00000000" w:rsidRPr="00000000">
          <w:rPr>
            <w:rFonts w:ascii="Arial" w:cs="Arial" w:eastAsia="Arial" w:hAnsi="Arial"/>
            <w:b w:val="1"/>
            <w:bCs w:val="1"/>
            <w:rtl w:val="0"/>
          </w:rPr>
          <w:t xml:space="preserve">10.</w:t>
        </w:r>
      </w:hyperlink>
      <w:r w:rsidDel="00000000" w:rsidR="00000000" w:rsidRPr="00000000">
        <w:rPr>
          <w:rFonts w:ascii="Arial" w:cs="Arial" w:eastAsia="Arial" w:hAnsi="Arial"/>
          <w:b w:val="1"/>
          <w:bCs w:val="1"/>
          <w:rtl w:val="0"/>
        </w:rPr>
        <w:tab/>
      </w:r>
      <w:hyperlink r:id="rId40">
        <w:r w:rsidDel="00000000" w:rsidR="00000000" w:rsidRPr="00000000">
          <w:rPr>
            <w:rFonts w:ascii="Arial" w:cs="Arial" w:eastAsia="Arial" w:hAnsi="Arial"/>
            <w:b w:val="1"/>
            <w:bCs w:val="1"/>
            <w:rtl w:val="0"/>
          </w:rPr>
          <w:t xml:space="preserve">Kennedy T, Singh S, Abood G, Christenson E, Anker CJ, Akselrod D, et al. Executive Summary of the American Radium Society Appropriate Use Criteria for the Management of Peritoneal Carcinomatosis From Different Tumor Origins: Systematic Review and Guidelines. Cancer Med. 2025 Jul 22;14(14):e71043. doi:10.1002/cam4.71043 PubMed PMID: 40693544; PubMed Central PMCID: PMC12281213. </w:t>
        </w:r>
      </w:hyperlink>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1">
        <w:r w:rsidDel="00000000" w:rsidR="00000000" w:rsidRPr="00000000">
          <w:rPr>
            <w:rFonts w:ascii="Arial" w:cs="Arial" w:eastAsia="Arial" w:hAnsi="Arial"/>
            <w:b w:val="1"/>
            <w:bCs w:val="1"/>
            <w:rtl w:val="0"/>
          </w:rPr>
          <w:t xml:space="preserve">11.</w:t>
        </w:r>
      </w:hyperlink>
      <w:r w:rsidDel="00000000" w:rsidR="00000000" w:rsidRPr="00000000">
        <w:rPr>
          <w:rFonts w:ascii="Arial" w:cs="Arial" w:eastAsia="Arial" w:hAnsi="Arial"/>
          <w:b w:val="1"/>
          <w:bCs w:val="1"/>
          <w:rtl w:val="0"/>
        </w:rPr>
        <w:tab/>
      </w:r>
      <w:hyperlink r:id="rId42">
        <w:r w:rsidDel="00000000" w:rsidR="00000000" w:rsidRPr="00000000">
          <w:rPr>
            <w:rFonts w:ascii="Arial" w:cs="Arial" w:eastAsia="Arial" w:hAnsi="Arial"/>
            <w:b w:val="1"/>
            <w:bCs w:val="1"/>
            <w:rtl w:val="0"/>
          </w:rPr>
          <w:t xml:space="preserve">Zhang Y, Xu M, Wang Y, Yu F, Chen X, Wang G, et al. Characteristics of 18F-FAPI-04 PET/CT in patients with peritoneal metastasis and to predict treatment efficacy, a head-to-head comparison with 18F-FDG PET/CT. Cancer Imaging. 2025 Jun 2;25:66. doi:10.1186/s40644-025-00887-9 PubMed PMID: 40457405; PubMed Central PMCID: PMC12128257. </w:t>
        </w:r>
      </w:hyperlink>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3">
        <w:r w:rsidDel="00000000" w:rsidR="00000000" w:rsidRPr="00000000">
          <w:rPr>
            <w:rFonts w:ascii="Arial" w:cs="Arial" w:eastAsia="Arial" w:hAnsi="Arial"/>
            <w:b w:val="1"/>
            <w:bCs w:val="1"/>
            <w:rtl w:val="0"/>
          </w:rPr>
          <w:t xml:space="preserve">12.</w:t>
        </w:r>
      </w:hyperlink>
      <w:r w:rsidDel="00000000" w:rsidR="00000000" w:rsidRPr="00000000">
        <w:rPr>
          <w:rFonts w:ascii="Arial" w:cs="Arial" w:eastAsia="Arial" w:hAnsi="Arial"/>
          <w:b w:val="1"/>
          <w:bCs w:val="1"/>
          <w:rtl w:val="0"/>
        </w:rPr>
        <w:tab/>
      </w:r>
      <w:hyperlink r:id="rId44">
        <w:r w:rsidDel="00000000" w:rsidR="00000000" w:rsidRPr="00000000">
          <w:rPr>
            <w:rFonts w:ascii="Arial" w:cs="Arial" w:eastAsia="Arial" w:hAnsi="Arial"/>
            <w:b w:val="1"/>
            <w:bCs w:val="1"/>
            <w:rtl w:val="0"/>
          </w:rPr>
          <w:t xml:space="preserve">Zhou Y, Zhao Y, Shuai D, Yang X, Hu Q, Deng X, et al. Comparison of 68Ga-FAPI-04 PET/CT with CECT in the evaluation of peritoneal metastases from gastrointestinal cancers and impact on clinical decision-making. J Cancer Res Clin Oncol. 2025 Jul 4;151(7):201. doi:10.1007/s00432-025-06237-3 PubMed PMID: 40610672; PubMed Central PMCID: PMC12226647. </w:t>
        </w:r>
      </w:hyperlink>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5">
        <w:r w:rsidDel="00000000" w:rsidR="00000000" w:rsidRPr="00000000">
          <w:rPr>
            <w:rFonts w:ascii="Arial" w:cs="Arial" w:eastAsia="Arial" w:hAnsi="Arial"/>
            <w:b w:val="1"/>
            <w:bCs w:val="1"/>
            <w:rtl w:val="0"/>
          </w:rPr>
          <w:t xml:space="preserve">13.</w:t>
        </w:r>
      </w:hyperlink>
      <w:r w:rsidDel="00000000" w:rsidR="00000000" w:rsidRPr="00000000">
        <w:rPr>
          <w:rFonts w:ascii="Arial" w:cs="Arial" w:eastAsia="Arial" w:hAnsi="Arial"/>
          <w:b w:val="1"/>
          <w:bCs w:val="1"/>
          <w:rtl w:val="0"/>
        </w:rPr>
        <w:tab/>
      </w:r>
      <w:hyperlink r:id="rId46">
        <w:r w:rsidDel="00000000" w:rsidR="00000000" w:rsidRPr="00000000">
          <w:rPr>
            <w:rFonts w:ascii="Arial" w:cs="Arial" w:eastAsia="Arial" w:hAnsi="Arial"/>
            <w:b w:val="1"/>
            <w:bCs w:val="1"/>
            <w:rtl w:val="0"/>
          </w:rPr>
          <w:t xml:space="preserve">Guglielmo P, Alongi P, Baratto L, Abenavoli E, Buschiazzo A, Celesti G, et al. Head-to-Head Comparison of FDG and Radiolabeled FAPI PET: A Systematic Review of the Literature. Life. 2023 Aug 28;13(9):1821. doi:10.3390/life13091821 </w:t>
        </w:r>
      </w:hyperlink>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64" w:right="0" w:hanging="264"/>
        <w:jc w:val="left"/>
        <w:rPr>
          <w:rFonts w:ascii="Arial" w:cs="Arial" w:eastAsia="Arial" w:hAnsi="Arial"/>
          <w:b w:val="1"/>
          <w:bCs w:val="1"/>
        </w:rPr>
      </w:pPr>
      <w:hyperlink r:id="rId47">
        <w:r w:rsidDel="00000000" w:rsidR="00000000" w:rsidRPr="00000000">
          <w:rPr>
            <w:rFonts w:ascii="Arial" w:cs="Arial" w:eastAsia="Arial" w:hAnsi="Arial"/>
            <w:b w:val="1"/>
            <w:bCs w:val="1"/>
            <w:rtl w:val="0"/>
          </w:rPr>
          <w:t xml:space="preserve">14.</w:t>
        </w:r>
      </w:hyperlink>
      <w:r w:rsidDel="00000000" w:rsidR="00000000" w:rsidRPr="00000000">
        <w:rPr>
          <w:rFonts w:ascii="Arial" w:cs="Arial" w:eastAsia="Arial" w:hAnsi="Arial"/>
          <w:b w:val="1"/>
          <w:bCs w:val="1"/>
          <w:rtl w:val="0"/>
        </w:rPr>
        <w:tab/>
      </w:r>
      <w:hyperlink r:id="rId48">
        <w:r w:rsidDel="00000000" w:rsidR="00000000" w:rsidRPr="00000000">
          <w:rPr>
            <w:rFonts w:ascii="Arial" w:cs="Arial" w:eastAsia="Arial" w:hAnsi="Arial"/>
            <w:b w:val="1"/>
            <w:bCs w:val="1"/>
            <w:rtl w:val="0"/>
          </w:rPr>
          <w:t xml:space="preserve">Marin D, Catalano C, Baski M, Di Martino M, Et. A. 64-Section multi-detector row CT in the preoperative diagnosis of peritoneal carcinomatosis: correlation with histopathological findings. Abdom Imaging. 2009. doi:10.1007/s00261-008-9464-9 </w:t>
        </w:r>
      </w:hyperlink>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I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www.zotero.org/google-docs/?3u9F0m" TargetMode="External"/><Relationship Id="rId20" Type="http://schemas.openxmlformats.org/officeDocument/2006/relationships/hyperlink" Target="https://www.zotero.org/google-docs/?3u9F0m" TargetMode="External"/><Relationship Id="rId42" Type="http://schemas.openxmlformats.org/officeDocument/2006/relationships/hyperlink" Target="https://www.zotero.org/google-docs/?3u9F0m" TargetMode="External"/><Relationship Id="rId41" Type="http://schemas.openxmlformats.org/officeDocument/2006/relationships/hyperlink" Target="https://www.zotero.org/google-docs/?3u9F0m" TargetMode="External"/><Relationship Id="rId22" Type="http://schemas.openxmlformats.org/officeDocument/2006/relationships/hyperlink" Target="https://www.zotero.org/google-docs/?3u9F0m" TargetMode="External"/><Relationship Id="rId44" Type="http://schemas.openxmlformats.org/officeDocument/2006/relationships/hyperlink" Target="https://www.zotero.org/google-docs/?3u9F0m" TargetMode="External"/><Relationship Id="rId21" Type="http://schemas.openxmlformats.org/officeDocument/2006/relationships/hyperlink" Target="https://www.zotero.org/google-docs/?3u9F0m" TargetMode="External"/><Relationship Id="rId43" Type="http://schemas.openxmlformats.org/officeDocument/2006/relationships/hyperlink" Target="https://www.zotero.org/google-docs/?3u9F0m" TargetMode="External"/><Relationship Id="rId24" Type="http://schemas.openxmlformats.org/officeDocument/2006/relationships/hyperlink" Target="https://www.zotero.org/google-docs/?3u9F0m" TargetMode="External"/><Relationship Id="rId46" Type="http://schemas.openxmlformats.org/officeDocument/2006/relationships/hyperlink" Target="https://www.zotero.org/google-docs/?3u9F0m" TargetMode="External"/><Relationship Id="rId23" Type="http://schemas.openxmlformats.org/officeDocument/2006/relationships/hyperlink" Target="https://www.zotero.org/google-docs/?3u9F0m" TargetMode="External"/><Relationship Id="rId45" Type="http://schemas.openxmlformats.org/officeDocument/2006/relationships/hyperlink" Target="https://www.zotero.org/google-docs/?3u9F0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zotero.org/google-docs/?lHbq1g" TargetMode="External"/><Relationship Id="rId26" Type="http://schemas.openxmlformats.org/officeDocument/2006/relationships/hyperlink" Target="https://www.zotero.org/google-docs/?3u9F0m" TargetMode="External"/><Relationship Id="rId48" Type="http://schemas.openxmlformats.org/officeDocument/2006/relationships/hyperlink" Target="https://www.zotero.org/google-docs/?3u9F0m" TargetMode="External"/><Relationship Id="rId25" Type="http://schemas.openxmlformats.org/officeDocument/2006/relationships/hyperlink" Target="https://www.zotero.org/google-docs/?3u9F0m" TargetMode="External"/><Relationship Id="rId47" Type="http://schemas.openxmlformats.org/officeDocument/2006/relationships/hyperlink" Target="https://www.zotero.org/google-docs/?3u9F0m" TargetMode="External"/><Relationship Id="rId28" Type="http://schemas.openxmlformats.org/officeDocument/2006/relationships/hyperlink" Target="https://www.zotero.org/google-docs/?3u9F0m" TargetMode="External"/><Relationship Id="rId27" Type="http://schemas.openxmlformats.org/officeDocument/2006/relationships/hyperlink" Target="https://www.zotero.org/google-docs/?3u9F0m"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s://www.zotero.org/google-docs/?3u9F0m" TargetMode="External"/><Relationship Id="rId7" Type="http://schemas.openxmlformats.org/officeDocument/2006/relationships/hyperlink" Target="https://www.zotero.org/google-docs/?U0aOSd" TargetMode="External"/><Relationship Id="rId8" Type="http://schemas.openxmlformats.org/officeDocument/2006/relationships/hyperlink" Target="https://www.zotero.org/google-docs/?AYu7jJ" TargetMode="External"/><Relationship Id="rId31" Type="http://schemas.openxmlformats.org/officeDocument/2006/relationships/hyperlink" Target="https://www.zotero.org/google-docs/?3u9F0m" TargetMode="External"/><Relationship Id="rId30" Type="http://schemas.openxmlformats.org/officeDocument/2006/relationships/hyperlink" Target="https://www.zotero.org/google-docs/?3u9F0m" TargetMode="External"/><Relationship Id="rId11" Type="http://schemas.openxmlformats.org/officeDocument/2006/relationships/hyperlink" Target="https://www.zotero.org/google-docs/?PtJ4EC" TargetMode="External"/><Relationship Id="rId33" Type="http://schemas.openxmlformats.org/officeDocument/2006/relationships/hyperlink" Target="https://www.zotero.org/google-docs/?3u9F0m" TargetMode="External"/><Relationship Id="rId10" Type="http://schemas.openxmlformats.org/officeDocument/2006/relationships/hyperlink" Target="https://www.zotero.org/google-docs/?3CPDAI" TargetMode="External"/><Relationship Id="rId32" Type="http://schemas.openxmlformats.org/officeDocument/2006/relationships/hyperlink" Target="https://www.zotero.org/google-docs/?3u9F0m" TargetMode="External"/><Relationship Id="rId13" Type="http://schemas.openxmlformats.org/officeDocument/2006/relationships/hyperlink" Target="https://www.zotero.org/google-docs/?quxhTV" TargetMode="External"/><Relationship Id="rId35" Type="http://schemas.openxmlformats.org/officeDocument/2006/relationships/hyperlink" Target="https://www.zotero.org/google-docs/?3u9F0m" TargetMode="External"/><Relationship Id="rId12" Type="http://schemas.openxmlformats.org/officeDocument/2006/relationships/hyperlink" Target="https://www.zotero.org/google-docs/?Tor3Qf" TargetMode="External"/><Relationship Id="rId34" Type="http://schemas.openxmlformats.org/officeDocument/2006/relationships/hyperlink" Target="https://www.zotero.org/google-docs/?3u9F0m" TargetMode="External"/><Relationship Id="rId15" Type="http://schemas.openxmlformats.org/officeDocument/2006/relationships/hyperlink" Target="https://www.zotero.org/google-docs/?9KRoDB" TargetMode="External"/><Relationship Id="rId37" Type="http://schemas.openxmlformats.org/officeDocument/2006/relationships/hyperlink" Target="https://www.zotero.org/google-docs/?3u9F0m" TargetMode="External"/><Relationship Id="rId14" Type="http://schemas.openxmlformats.org/officeDocument/2006/relationships/hyperlink" Target="https://www.zotero.org/google-docs/?9ijXoQ" TargetMode="External"/><Relationship Id="rId36" Type="http://schemas.openxmlformats.org/officeDocument/2006/relationships/hyperlink" Target="https://www.zotero.org/google-docs/?3u9F0m" TargetMode="External"/><Relationship Id="rId17" Type="http://schemas.openxmlformats.org/officeDocument/2006/relationships/hyperlink" Target="https://www.zotero.org/google-docs/?5FIpQy" TargetMode="External"/><Relationship Id="rId39" Type="http://schemas.openxmlformats.org/officeDocument/2006/relationships/hyperlink" Target="https://www.zotero.org/google-docs/?3u9F0m" TargetMode="External"/><Relationship Id="rId16" Type="http://schemas.openxmlformats.org/officeDocument/2006/relationships/hyperlink" Target="https://www.zotero.org/google-docs/?nuyVed" TargetMode="External"/><Relationship Id="rId38" Type="http://schemas.openxmlformats.org/officeDocument/2006/relationships/hyperlink" Target="https://www.zotero.org/google-docs/?3u9F0m" TargetMode="External"/><Relationship Id="rId19" Type="http://schemas.openxmlformats.org/officeDocument/2006/relationships/hyperlink" Target="https://www.zotero.org/google-docs/?3u9F0m" TargetMode="External"/><Relationship Id="rId18" Type="http://schemas.openxmlformats.org/officeDocument/2006/relationships/hyperlink" Target="https://www.zotero.org/google-docs/?3u9F0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